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1BF2" w14:textId="77777777" w:rsidR="00344EF9" w:rsidRDefault="00344EF9" w:rsidP="00B93A23">
      <w:pPr>
        <w:ind w:right="284"/>
        <w:rPr>
          <w:rStyle w:val="Heading2Char"/>
          <w:color w:val="5A74D4"/>
        </w:rPr>
      </w:pPr>
    </w:p>
    <w:p w14:paraId="3215F340" w14:textId="77777777" w:rsidR="003957C3" w:rsidRPr="00C755A2" w:rsidRDefault="003957C3" w:rsidP="003957C3">
      <w:pPr>
        <w:tabs>
          <w:tab w:val="center" w:pos="4153"/>
          <w:tab w:val="right" w:pos="8306"/>
        </w:tabs>
        <w:spacing w:after="0" w:line="240" w:lineRule="auto"/>
        <w:ind w:right="284"/>
        <w:rPr>
          <w:rFonts w:ascii="Lato" w:eastAsia="Times New Roman" w:hAnsi="Lato" w:cs="Arial"/>
          <w:color w:val="000000"/>
          <w:sz w:val="20"/>
          <w:szCs w:val="20"/>
          <w:lang w:eastAsia="en-GB"/>
        </w:rPr>
      </w:pPr>
    </w:p>
    <w:p w14:paraId="3C3F668E" w14:textId="33DB87FB" w:rsidR="0090326F" w:rsidRPr="002148AA" w:rsidRDefault="002148AA" w:rsidP="009C120F">
      <w:pPr>
        <w:pStyle w:val="Heading2"/>
        <w:numPr>
          <w:ilvl w:val="0"/>
          <w:numId w:val="0"/>
        </w:numPr>
        <w:ind w:left="720" w:hanging="720"/>
        <w:rPr>
          <w:sz w:val="20"/>
          <w:szCs w:val="20"/>
        </w:rPr>
      </w:pPr>
      <w:r>
        <w:rPr>
          <w:noProof/>
        </w:rPr>
        <w:drawing>
          <wp:inline distT="0" distB="0" distL="0" distR="0" wp14:anchorId="566DA8B9" wp14:editId="47EE932E">
            <wp:extent cx="2438400" cy="514985"/>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514985"/>
                    </a:xfrm>
                    <a:prstGeom prst="rect">
                      <a:avLst/>
                    </a:prstGeom>
                  </pic:spPr>
                </pic:pic>
              </a:graphicData>
            </a:graphic>
          </wp:inline>
        </w:drawing>
      </w:r>
    </w:p>
    <w:p w14:paraId="2E07BDCC" w14:textId="7A091459" w:rsidR="001D61B9" w:rsidRPr="00244BA9" w:rsidRDefault="001D61B9" w:rsidP="001D61B9">
      <w:pPr>
        <w:pStyle w:val="BodyText"/>
      </w:pPr>
    </w:p>
    <w:tbl>
      <w:tblPr>
        <w:tblStyle w:val="TableGrid"/>
        <w:tblW w:w="0" w:type="auto"/>
        <w:tblLook w:val="01E0" w:firstRow="1" w:lastRow="1" w:firstColumn="1" w:lastColumn="1" w:noHBand="0" w:noVBand="0"/>
      </w:tblPr>
      <w:tblGrid>
        <w:gridCol w:w="2252"/>
        <w:gridCol w:w="6764"/>
      </w:tblGrid>
      <w:tr w:rsidR="001D61B9" w:rsidRPr="00244BA9" w14:paraId="24227B48" w14:textId="77777777" w:rsidTr="00244BA9">
        <w:tc>
          <w:tcPr>
            <w:tcW w:w="2252" w:type="dxa"/>
          </w:tcPr>
          <w:p w14:paraId="622B939C" w14:textId="1B9F6CBA" w:rsidR="001D61B9" w:rsidRPr="00244BA9" w:rsidRDefault="001D61B9" w:rsidP="00244BA9">
            <w:pPr>
              <w:pStyle w:val="Heading1"/>
              <w:numPr>
                <w:ilvl w:val="0"/>
                <w:numId w:val="0"/>
              </w:numPr>
              <w:ind w:left="432" w:right="284" w:hanging="432"/>
              <w:rPr>
                <w:rFonts w:cs="Arial"/>
                <w:bCs/>
                <w:sz w:val="20"/>
                <w:szCs w:val="20"/>
              </w:rPr>
            </w:pPr>
            <w:r w:rsidRPr="00244BA9">
              <w:rPr>
                <w:rFonts w:cs="Arial"/>
                <w:sz w:val="20"/>
                <w:szCs w:val="20"/>
              </w:rPr>
              <w:t>Company Name</w:t>
            </w:r>
            <w:r w:rsidR="00D212D9">
              <w:rPr>
                <w:rFonts w:cs="Arial"/>
                <w:sz w:val="20"/>
                <w:szCs w:val="20"/>
              </w:rPr>
              <w:t>:</w:t>
            </w:r>
          </w:p>
        </w:tc>
        <w:tc>
          <w:tcPr>
            <w:tcW w:w="6764" w:type="dxa"/>
          </w:tcPr>
          <w:p w14:paraId="3CCAA5EF" w14:textId="788BDDB9" w:rsidR="001D61B9" w:rsidRPr="00244BA9" w:rsidRDefault="00917EEF" w:rsidP="00793B00">
            <w:pPr>
              <w:rPr>
                <w:rFonts w:ascii="Lato" w:hAnsi="Lato" w:cs="Arial"/>
                <w:sz w:val="20"/>
                <w:szCs w:val="20"/>
                <w:lang w:val="en-US"/>
              </w:rPr>
            </w:pPr>
            <w:r>
              <w:rPr>
                <w:rFonts w:ascii="Lato" w:hAnsi="Lato" w:cs="Arial"/>
                <w:sz w:val="20"/>
                <w:szCs w:val="20"/>
                <w:lang w:val="en-US"/>
              </w:rPr>
              <w:t>Class Cover Ltd</w:t>
            </w:r>
            <w:r w:rsidR="001D61B9" w:rsidRPr="00244BA9">
              <w:rPr>
                <w:rFonts w:ascii="Lato" w:hAnsi="Lato" w:cs="Arial"/>
                <w:sz w:val="20"/>
                <w:szCs w:val="20"/>
                <w:lang w:val="en-US"/>
              </w:rPr>
              <w:t xml:space="preserve"> (‘the Company’)</w:t>
            </w:r>
          </w:p>
          <w:p w14:paraId="454C88A2" w14:textId="77777777" w:rsidR="001D61B9" w:rsidRPr="00244BA9" w:rsidRDefault="001D61B9" w:rsidP="00793B00">
            <w:pPr>
              <w:rPr>
                <w:rFonts w:ascii="Lato" w:hAnsi="Lato" w:cs="Arial"/>
                <w:sz w:val="20"/>
                <w:szCs w:val="20"/>
                <w:lang w:val="en-US"/>
              </w:rPr>
            </w:pPr>
          </w:p>
        </w:tc>
      </w:tr>
      <w:tr w:rsidR="001D61B9" w:rsidRPr="00244BA9" w14:paraId="0ECF3202" w14:textId="77777777" w:rsidTr="00244BA9">
        <w:tc>
          <w:tcPr>
            <w:tcW w:w="2252" w:type="dxa"/>
          </w:tcPr>
          <w:p w14:paraId="42B4D5E2" w14:textId="0334E55A" w:rsidR="001D61B9" w:rsidRPr="001D30C2" w:rsidRDefault="00917EEF" w:rsidP="001D30C2">
            <w:pPr>
              <w:pStyle w:val="Heading1"/>
              <w:numPr>
                <w:ilvl w:val="0"/>
                <w:numId w:val="0"/>
              </w:numPr>
              <w:ind w:left="432" w:right="284" w:hanging="432"/>
              <w:rPr>
                <w:rFonts w:cs="Arial"/>
                <w:bCs/>
                <w:sz w:val="20"/>
                <w:szCs w:val="20"/>
                <w:highlight w:val="yellow"/>
              </w:rPr>
            </w:pPr>
            <w:r w:rsidRPr="002148AA">
              <w:rPr>
                <w:rFonts w:cs="Arial"/>
                <w:bCs/>
                <w:color w:val="auto"/>
                <w:sz w:val="20"/>
                <w:szCs w:val="20"/>
              </w:rPr>
              <w:t>Document DP6</w:t>
            </w:r>
          </w:p>
        </w:tc>
        <w:tc>
          <w:tcPr>
            <w:tcW w:w="6764" w:type="dxa"/>
          </w:tcPr>
          <w:p w14:paraId="36AC65EE" w14:textId="66567BA9" w:rsidR="001D61B9" w:rsidRPr="00D212D9" w:rsidRDefault="00D212D9" w:rsidP="00D212D9">
            <w:pPr>
              <w:pStyle w:val="Title"/>
              <w:jc w:val="left"/>
              <w:rPr>
                <w:rFonts w:asciiTheme="minorHAnsi" w:hAnsiTheme="minorHAnsi"/>
                <w:sz w:val="22"/>
                <w:szCs w:val="22"/>
              </w:rPr>
            </w:pPr>
            <w:r>
              <w:rPr>
                <w:sz w:val="20"/>
                <w:szCs w:val="20"/>
              </w:rPr>
              <w:t>Consent Declaration form</w:t>
            </w:r>
          </w:p>
        </w:tc>
      </w:tr>
      <w:tr w:rsidR="001D61B9" w:rsidRPr="00244BA9" w14:paraId="1417597C" w14:textId="77777777" w:rsidTr="00244BA9">
        <w:tc>
          <w:tcPr>
            <w:tcW w:w="2252" w:type="dxa"/>
          </w:tcPr>
          <w:p w14:paraId="42380C24" w14:textId="20A2287D" w:rsidR="001D61B9" w:rsidRPr="00244BA9" w:rsidRDefault="001D61B9" w:rsidP="00793B00">
            <w:pPr>
              <w:rPr>
                <w:rFonts w:ascii="Lato" w:hAnsi="Lato" w:cs="Arial"/>
                <w:b/>
                <w:sz w:val="20"/>
                <w:szCs w:val="20"/>
                <w:lang w:val="en-US"/>
              </w:rPr>
            </w:pPr>
            <w:r w:rsidRPr="00244BA9">
              <w:rPr>
                <w:rFonts w:ascii="Lato" w:hAnsi="Lato" w:cs="Arial"/>
                <w:b/>
                <w:sz w:val="20"/>
                <w:szCs w:val="20"/>
                <w:lang w:val="en-US"/>
              </w:rPr>
              <w:t>Topic:</w:t>
            </w:r>
          </w:p>
        </w:tc>
        <w:tc>
          <w:tcPr>
            <w:tcW w:w="6764" w:type="dxa"/>
          </w:tcPr>
          <w:p w14:paraId="7A6BC952" w14:textId="4F153E9C" w:rsidR="001D61B9" w:rsidRPr="006E1D13" w:rsidRDefault="001D61B9" w:rsidP="006E1D13">
            <w:pPr>
              <w:pStyle w:val="Title"/>
              <w:jc w:val="left"/>
              <w:rPr>
                <w:sz w:val="20"/>
                <w:szCs w:val="20"/>
              </w:rPr>
            </w:pPr>
            <w:r w:rsidRPr="00244BA9">
              <w:rPr>
                <w:sz w:val="20"/>
                <w:szCs w:val="20"/>
              </w:rPr>
              <w:t>Data protection</w:t>
            </w:r>
          </w:p>
        </w:tc>
      </w:tr>
      <w:tr w:rsidR="001D61B9" w:rsidRPr="00244BA9" w14:paraId="3A2615EE" w14:textId="77777777" w:rsidTr="00244BA9">
        <w:tc>
          <w:tcPr>
            <w:tcW w:w="2252" w:type="dxa"/>
          </w:tcPr>
          <w:p w14:paraId="5ED0A5EA" w14:textId="77777777" w:rsidR="001D61B9" w:rsidRPr="00244BA9" w:rsidRDefault="001D61B9" w:rsidP="00793B00">
            <w:pPr>
              <w:rPr>
                <w:rFonts w:ascii="Lato" w:hAnsi="Lato" w:cs="Arial"/>
                <w:b/>
                <w:sz w:val="20"/>
                <w:szCs w:val="20"/>
                <w:lang w:val="en-US"/>
              </w:rPr>
            </w:pPr>
            <w:r w:rsidRPr="00244BA9">
              <w:rPr>
                <w:rFonts w:ascii="Lato" w:hAnsi="Lato" w:cs="Arial"/>
                <w:b/>
                <w:sz w:val="20"/>
                <w:szCs w:val="20"/>
                <w:lang w:val="en-US"/>
              </w:rPr>
              <w:t>Date:</w:t>
            </w:r>
          </w:p>
          <w:p w14:paraId="0579E0DF" w14:textId="77777777" w:rsidR="001D61B9" w:rsidRPr="00244BA9" w:rsidRDefault="001D61B9" w:rsidP="00793B00">
            <w:pPr>
              <w:rPr>
                <w:rFonts w:ascii="Lato" w:hAnsi="Lato" w:cs="Arial"/>
                <w:b/>
                <w:sz w:val="20"/>
                <w:szCs w:val="20"/>
                <w:lang w:val="en-US"/>
              </w:rPr>
            </w:pPr>
          </w:p>
        </w:tc>
        <w:tc>
          <w:tcPr>
            <w:tcW w:w="6764" w:type="dxa"/>
          </w:tcPr>
          <w:p w14:paraId="2FB47CD7" w14:textId="2FC6FD23" w:rsidR="001D61B9" w:rsidRPr="00244BA9" w:rsidRDefault="00C3439D" w:rsidP="00793B00">
            <w:pPr>
              <w:rPr>
                <w:rFonts w:ascii="Lato" w:hAnsi="Lato" w:cs="Arial"/>
                <w:sz w:val="20"/>
                <w:szCs w:val="20"/>
                <w:lang w:val="en-US"/>
              </w:rPr>
            </w:pPr>
            <w:r>
              <w:rPr>
                <w:rFonts w:ascii="Lato" w:hAnsi="Lato" w:cs="Arial"/>
                <w:sz w:val="20"/>
                <w:szCs w:val="20"/>
                <w:lang w:val="en-US"/>
              </w:rPr>
              <w:t>01/04/2026</w:t>
            </w:r>
          </w:p>
        </w:tc>
      </w:tr>
      <w:tr w:rsidR="001D61B9" w:rsidRPr="00244BA9" w14:paraId="11851ACA" w14:textId="77777777" w:rsidTr="00244BA9">
        <w:tc>
          <w:tcPr>
            <w:tcW w:w="2252" w:type="dxa"/>
          </w:tcPr>
          <w:p w14:paraId="62240C6C" w14:textId="77777777" w:rsidR="001D61B9" w:rsidRPr="00244BA9" w:rsidRDefault="001D61B9" w:rsidP="00793B00">
            <w:pPr>
              <w:rPr>
                <w:rFonts w:ascii="Lato" w:hAnsi="Lato" w:cs="Arial"/>
                <w:b/>
                <w:sz w:val="20"/>
                <w:szCs w:val="20"/>
                <w:lang w:val="en-US"/>
              </w:rPr>
            </w:pPr>
            <w:r w:rsidRPr="00244BA9">
              <w:rPr>
                <w:rFonts w:ascii="Lato" w:hAnsi="Lato" w:cs="Arial"/>
                <w:b/>
                <w:sz w:val="20"/>
                <w:szCs w:val="20"/>
                <w:lang w:val="en-US"/>
              </w:rPr>
              <w:t>Version:</w:t>
            </w:r>
          </w:p>
        </w:tc>
        <w:tc>
          <w:tcPr>
            <w:tcW w:w="6764" w:type="dxa"/>
          </w:tcPr>
          <w:p w14:paraId="1BFD7795" w14:textId="65709D3D" w:rsidR="001D61B9" w:rsidRPr="00244BA9" w:rsidRDefault="00917EEF" w:rsidP="00793B00">
            <w:pPr>
              <w:rPr>
                <w:rFonts w:ascii="Lato" w:hAnsi="Lato" w:cs="Arial"/>
                <w:sz w:val="20"/>
                <w:szCs w:val="20"/>
                <w:lang w:val="en-US"/>
              </w:rPr>
            </w:pPr>
            <w:r>
              <w:rPr>
                <w:rFonts w:ascii="Lato" w:hAnsi="Lato" w:cs="Arial"/>
                <w:sz w:val="20"/>
                <w:szCs w:val="20"/>
                <w:lang w:val="en-US"/>
              </w:rPr>
              <w:t>1</w:t>
            </w:r>
          </w:p>
          <w:p w14:paraId="65E15BA1" w14:textId="77777777" w:rsidR="001D61B9" w:rsidRPr="00244BA9" w:rsidRDefault="001D61B9" w:rsidP="00793B00">
            <w:pPr>
              <w:rPr>
                <w:rFonts w:ascii="Lato" w:hAnsi="Lato" w:cs="Arial"/>
                <w:sz w:val="20"/>
                <w:szCs w:val="20"/>
                <w:lang w:val="en-US"/>
              </w:rPr>
            </w:pPr>
          </w:p>
        </w:tc>
      </w:tr>
    </w:tbl>
    <w:p w14:paraId="35F07DAE" w14:textId="1D10D17E" w:rsidR="007C48D9" w:rsidRDefault="007C48D9" w:rsidP="001D61B9">
      <w:pPr>
        <w:jc w:val="both"/>
        <w:rPr>
          <w:rFonts w:ascii="Lato" w:hAnsi="Lato" w:cs="Arial"/>
          <w:sz w:val="20"/>
          <w:szCs w:val="20"/>
        </w:rPr>
      </w:pPr>
    </w:p>
    <w:p w14:paraId="68E0F584" w14:textId="03157B45" w:rsidR="000055BA" w:rsidRPr="000055BA" w:rsidRDefault="000055BA" w:rsidP="00917EEF">
      <w:pPr>
        <w:pStyle w:val="BodyText"/>
        <w:rPr>
          <w:color w:val="0D133D" w:themeColor="text1"/>
        </w:rPr>
      </w:pPr>
      <w:r w:rsidRPr="000055BA">
        <w:rPr>
          <w:color w:val="0D133D" w:themeColor="text1"/>
        </w:rPr>
        <w:t xml:space="preserve">I, </w:t>
      </w:r>
      <w:r w:rsidR="00917EEF">
        <w:rPr>
          <w:color w:val="0D133D" w:themeColor="text1"/>
        </w:rPr>
        <w:t xml:space="preserve">                                                </w:t>
      </w:r>
      <w:r w:rsidRPr="000055BA">
        <w:rPr>
          <w:color w:val="0D133D" w:themeColor="text1"/>
        </w:rPr>
        <w:t xml:space="preserve">, hereby give my consent to the Company to process the following information: </w:t>
      </w:r>
    </w:p>
    <w:p w14:paraId="64CC7D4F" w14:textId="77777777" w:rsidR="00917EEF" w:rsidRDefault="000055BA" w:rsidP="00917EEF">
      <w:pPr>
        <w:pStyle w:val="BodyText"/>
        <w:rPr>
          <w:u w:val="single"/>
        </w:rPr>
      </w:pPr>
      <w:r w:rsidRPr="000055BA">
        <w:rPr>
          <w:color w:val="0D133D" w:themeColor="text1"/>
        </w:rPr>
        <w:br/>
      </w:r>
      <w:r w:rsidRPr="000055BA">
        <w:rPr>
          <w:u w:val="single"/>
        </w:rPr>
        <w:t xml:space="preserve">Personal data </w:t>
      </w:r>
    </w:p>
    <w:p w14:paraId="110E46A3" w14:textId="3107A99E" w:rsidR="00917EEF" w:rsidRPr="00917EEF" w:rsidRDefault="00917EEF" w:rsidP="00917EEF">
      <w:pPr>
        <w:pStyle w:val="BodyText"/>
        <w:numPr>
          <w:ilvl w:val="0"/>
          <w:numId w:val="39"/>
        </w:numPr>
        <w:rPr>
          <w:u w:val="single"/>
        </w:rPr>
      </w:pPr>
      <w:r>
        <w:t>Name</w:t>
      </w:r>
    </w:p>
    <w:p w14:paraId="21FF8865" w14:textId="3E68C54C" w:rsidR="00917EEF" w:rsidRPr="00917EEF" w:rsidRDefault="00917EEF" w:rsidP="00917EEF">
      <w:pPr>
        <w:pStyle w:val="BodyText"/>
        <w:numPr>
          <w:ilvl w:val="0"/>
          <w:numId w:val="39"/>
        </w:numPr>
        <w:rPr>
          <w:u w:val="single"/>
        </w:rPr>
      </w:pPr>
      <w:r>
        <w:t xml:space="preserve">Date of birth </w:t>
      </w:r>
    </w:p>
    <w:p w14:paraId="5E357FE6" w14:textId="0250D2BD" w:rsidR="00917EEF" w:rsidRPr="00917EEF" w:rsidRDefault="00917EEF" w:rsidP="00917EEF">
      <w:pPr>
        <w:pStyle w:val="BodyText"/>
        <w:numPr>
          <w:ilvl w:val="0"/>
          <w:numId w:val="39"/>
        </w:numPr>
        <w:rPr>
          <w:u w:val="single"/>
        </w:rPr>
      </w:pPr>
      <w:r>
        <w:t>Contact details, including telephone number, email address and postal address</w:t>
      </w:r>
    </w:p>
    <w:p w14:paraId="3BA6B184" w14:textId="11085A76" w:rsidR="00917EEF" w:rsidRPr="00917EEF" w:rsidRDefault="00917EEF" w:rsidP="00917EEF">
      <w:pPr>
        <w:pStyle w:val="BodyText"/>
        <w:numPr>
          <w:ilvl w:val="0"/>
          <w:numId w:val="39"/>
        </w:numPr>
        <w:rPr>
          <w:u w:val="single"/>
        </w:rPr>
      </w:pPr>
      <w:r>
        <w:t>Experience, training and qualifications</w:t>
      </w:r>
    </w:p>
    <w:p w14:paraId="27236BFB" w14:textId="2B8E0763" w:rsidR="00917EEF" w:rsidRPr="00917EEF" w:rsidRDefault="00917EEF" w:rsidP="00917EEF">
      <w:pPr>
        <w:pStyle w:val="BodyText"/>
        <w:numPr>
          <w:ilvl w:val="0"/>
          <w:numId w:val="39"/>
        </w:numPr>
        <w:rPr>
          <w:u w:val="single"/>
        </w:rPr>
      </w:pPr>
      <w:r>
        <w:t>CV</w:t>
      </w:r>
    </w:p>
    <w:p w14:paraId="51E39C0F" w14:textId="1263D000" w:rsidR="00917EEF" w:rsidRPr="00917EEF" w:rsidRDefault="00917EEF" w:rsidP="00917EEF">
      <w:pPr>
        <w:pStyle w:val="BodyText"/>
        <w:numPr>
          <w:ilvl w:val="0"/>
          <w:numId w:val="39"/>
        </w:numPr>
        <w:rPr>
          <w:u w:val="single"/>
        </w:rPr>
      </w:pPr>
      <w:r>
        <w:t>National Insurance Number</w:t>
      </w:r>
    </w:p>
    <w:p w14:paraId="258F4AB7" w14:textId="25119E39" w:rsidR="00917EEF" w:rsidRDefault="00917EEF" w:rsidP="00917EEF">
      <w:pPr>
        <w:pStyle w:val="BodyText"/>
        <w:numPr>
          <w:ilvl w:val="0"/>
          <w:numId w:val="39"/>
        </w:numPr>
        <w:rPr>
          <w:u w:val="single"/>
        </w:rPr>
      </w:pPr>
      <w:r>
        <w:t>Bank details</w:t>
      </w:r>
    </w:p>
    <w:p w14:paraId="0CF4E1E9" w14:textId="20CCB494" w:rsidR="000055BA" w:rsidRPr="000055BA" w:rsidRDefault="000055BA" w:rsidP="00917EEF">
      <w:pPr>
        <w:pStyle w:val="ListParagraph"/>
        <w:numPr>
          <w:ilvl w:val="0"/>
          <w:numId w:val="0"/>
        </w:numPr>
        <w:ind w:left="720"/>
        <w:rPr>
          <w:rFonts w:cs="Arial"/>
          <w:color w:val="0D133D" w:themeColor="text1"/>
          <w:highlight w:val="yellow"/>
        </w:rPr>
      </w:pPr>
    </w:p>
    <w:p w14:paraId="298B556D" w14:textId="77777777" w:rsidR="000055BA" w:rsidRPr="000055BA" w:rsidRDefault="000055BA" w:rsidP="00917EEF">
      <w:pPr>
        <w:pStyle w:val="ListParagraph"/>
        <w:numPr>
          <w:ilvl w:val="0"/>
          <w:numId w:val="0"/>
        </w:numPr>
        <w:ind w:left="1440"/>
        <w:rPr>
          <w:rFonts w:cs="Arial"/>
          <w:color w:val="0D133D" w:themeColor="text1"/>
        </w:rPr>
      </w:pPr>
    </w:p>
    <w:p w14:paraId="61590FC3" w14:textId="0626B0BB" w:rsidR="000055BA" w:rsidRDefault="000055BA" w:rsidP="000055BA">
      <w:pPr>
        <w:pStyle w:val="BodyText"/>
        <w:rPr>
          <w:u w:val="single"/>
        </w:rPr>
      </w:pPr>
      <w:r w:rsidRPr="000055BA">
        <w:rPr>
          <w:u w:val="single"/>
        </w:rPr>
        <w:t xml:space="preserve">Special categories of personal data </w:t>
      </w:r>
    </w:p>
    <w:p w14:paraId="3A3C10E8" w14:textId="605DE051" w:rsidR="00917EEF" w:rsidRPr="00917EEF" w:rsidRDefault="00917EEF" w:rsidP="00917EEF">
      <w:pPr>
        <w:pStyle w:val="BodyText"/>
        <w:numPr>
          <w:ilvl w:val="0"/>
          <w:numId w:val="40"/>
        </w:numPr>
      </w:pPr>
      <w:r w:rsidRPr="00917EEF">
        <w:t>Disability/health condition relevant to the role</w:t>
      </w:r>
    </w:p>
    <w:p w14:paraId="43CD48D8" w14:textId="125A6FA7" w:rsidR="00917EEF" w:rsidRPr="00917EEF" w:rsidRDefault="00917EEF" w:rsidP="00917EEF">
      <w:pPr>
        <w:pStyle w:val="BodyText"/>
        <w:numPr>
          <w:ilvl w:val="0"/>
          <w:numId w:val="40"/>
        </w:numPr>
      </w:pPr>
      <w:r w:rsidRPr="00917EEF">
        <w:t>Criminal conviction</w:t>
      </w:r>
    </w:p>
    <w:p w14:paraId="7A0037D0" w14:textId="77777777" w:rsidR="000055BA" w:rsidRPr="000055BA" w:rsidRDefault="000055BA" w:rsidP="000055BA">
      <w:pPr>
        <w:jc w:val="both"/>
        <w:rPr>
          <w:rFonts w:ascii="Lato" w:hAnsi="Lato" w:cs="Arial"/>
          <w:b/>
          <w:color w:val="0D133D" w:themeColor="text1"/>
          <w:sz w:val="20"/>
          <w:szCs w:val="20"/>
        </w:rPr>
      </w:pPr>
    </w:p>
    <w:p w14:paraId="756A1288" w14:textId="77777777" w:rsidR="000055BA" w:rsidRPr="000055BA" w:rsidRDefault="000055BA" w:rsidP="000055BA">
      <w:pPr>
        <w:jc w:val="both"/>
        <w:rPr>
          <w:rFonts w:ascii="Lato" w:hAnsi="Lato" w:cs="Arial"/>
          <w:bCs/>
          <w:sz w:val="20"/>
          <w:szCs w:val="20"/>
        </w:rPr>
      </w:pPr>
      <w:r w:rsidRPr="000055BA">
        <w:rPr>
          <w:rFonts w:ascii="Lato" w:hAnsi="Lato" w:cs="Arial"/>
          <w:bCs/>
          <w:sz w:val="20"/>
          <w:szCs w:val="20"/>
        </w:rPr>
        <w:t>I consent to the Company processing the above personal data for the following purposes:</w:t>
      </w:r>
    </w:p>
    <w:p w14:paraId="0155F042" w14:textId="77777777" w:rsidR="000055BA" w:rsidRPr="000055BA" w:rsidRDefault="000055BA" w:rsidP="000055BA">
      <w:pPr>
        <w:pStyle w:val="ListParagraph"/>
        <w:numPr>
          <w:ilvl w:val="0"/>
          <w:numId w:val="37"/>
        </w:numPr>
        <w:rPr>
          <w:rFonts w:cs="Arial"/>
          <w:bCs/>
        </w:rPr>
      </w:pPr>
      <w:r w:rsidRPr="000055BA">
        <w:rPr>
          <w:rFonts w:cs="Arial"/>
          <w:bCs/>
        </w:rPr>
        <w:t>For the Company to provide me with work-finding services.</w:t>
      </w:r>
    </w:p>
    <w:p w14:paraId="58EEC966" w14:textId="1CF88A28" w:rsidR="000055BA" w:rsidRPr="000055BA" w:rsidRDefault="000055BA" w:rsidP="00917EEF">
      <w:pPr>
        <w:pStyle w:val="ListParagraph"/>
        <w:numPr>
          <w:ilvl w:val="0"/>
          <w:numId w:val="37"/>
        </w:numPr>
        <w:rPr>
          <w:rFonts w:cs="Arial"/>
          <w:bCs/>
        </w:rPr>
      </w:pPr>
      <w:r w:rsidRPr="000055BA">
        <w:rPr>
          <w:rFonts w:cs="Arial"/>
          <w:bCs/>
        </w:rPr>
        <w:t xml:space="preserve">For the Company to process/transfer my personal data with their </w:t>
      </w:r>
      <w:r w:rsidR="00917EEF">
        <w:rPr>
          <w:rFonts w:cs="Arial"/>
          <w:bCs/>
        </w:rPr>
        <w:t>client/s</w:t>
      </w:r>
      <w:r w:rsidRPr="000055BA">
        <w:rPr>
          <w:rFonts w:cs="Arial"/>
          <w:color w:val="0D133D" w:themeColor="text1"/>
        </w:rPr>
        <w:t xml:space="preserve"> </w:t>
      </w:r>
      <w:r w:rsidRPr="000055BA">
        <w:rPr>
          <w:rFonts w:cs="Arial"/>
          <w:bCs/>
        </w:rPr>
        <w:t xml:space="preserve">in order to provide me with work-finding services. </w:t>
      </w:r>
    </w:p>
    <w:p w14:paraId="5BB13B73" w14:textId="6E18968E" w:rsidR="000055BA" w:rsidRPr="000055BA" w:rsidRDefault="000055BA" w:rsidP="000055BA">
      <w:pPr>
        <w:pStyle w:val="ListParagraph"/>
        <w:numPr>
          <w:ilvl w:val="0"/>
          <w:numId w:val="37"/>
        </w:numPr>
        <w:rPr>
          <w:rFonts w:cs="Arial"/>
          <w:bCs/>
        </w:rPr>
      </w:pPr>
      <w:r w:rsidRPr="000055BA">
        <w:rPr>
          <w:rFonts w:cs="Arial"/>
          <w:bCs/>
        </w:rPr>
        <w:t>For the Company to process my data on a computerised database in order to provide me with work-finding services.</w:t>
      </w:r>
    </w:p>
    <w:p w14:paraId="64BA85FC" w14:textId="42AE2D34" w:rsidR="000055BA" w:rsidRPr="000055BA" w:rsidRDefault="000055BA" w:rsidP="000055BA">
      <w:pPr>
        <w:jc w:val="both"/>
        <w:rPr>
          <w:rFonts w:ascii="Lato" w:hAnsi="Lato" w:cs="Arial"/>
          <w:color w:val="0D133D" w:themeColor="text1"/>
          <w:sz w:val="20"/>
          <w:szCs w:val="20"/>
          <w:highlight w:val="yellow"/>
        </w:rPr>
      </w:pPr>
    </w:p>
    <w:p w14:paraId="62B2FE0B" w14:textId="05086AED" w:rsidR="000055BA" w:rsidRPr="000055BA" w:rsidRDefault="000055BA" w:rsidP="00917EEF">
      <w:pPr>
        <w:jc w:val="both"/>
        <w:rPr>
          <w:rFonts w:ascii="Lato" w:hAnsi="Lato" w:cs="Arial"/>
          <w:color w:val="0D133D" w:themeColor="text1"/>
          <w:sz w:val="20"/>
          <w:szCs w:val="20"/>
        </w:rPr>
      </w:pPr>
      <w:r w:rsidRPr="00917EEF">
        <w:rPr>
          <w:rFonts w:ascii="Lato" w:hAnsi="Lato" w:cs="Arial"/>
          <w:sz w:val="20"/>
          <w:szCs w:val="20"/>
        </w:rPr>
        <w:t>I also consent to the Company processing my personal data with third parties including The REC for the purposes of internal audits and investigations carried out on the Company to ensure that the Company is complying with all relevant laws and obligations</w:t>
      </w:r>
      <w:r w:rsidR="00917EEF">
        <w:rPr>
          <w:rFonts w:ascii="Lato" w:hAnsi="Lato" w:cs="Arial"/>
          <w:sz w:val="20"/>
          <w:szCs w:val="20"/>
        </w:rPr>
        <w:t>.</w:t>
      </w:r>
      <w:r w:rsidRPr="000055BA">
        <w:rPr>
          <w:rFonts w:ascii="Lato" w:hAnsi="Lato" w:cs="Arial"/>
          <w:color w:val="00B0F0"/>
          <w:sz w:val="20"/>
          <w:szCs w:val="20"/>
        </w:rPr>
        <w:t xml:space="preserve"> </w:t>
      </w:r>
    </w:p>
    <w:p w14:paraId="71BDA039" w14:textId="77777777" w:rsidR="00884D5C" w:rsidRDefault="00884D5C" w:rsidP="000055BA">
      <w:pPr>
        <w:jc w:val="both"/>
        <w:rPr>
          <w:rFonts w:ascii="Lato" w:hAnsi="Lato" w:cs="Arial"/>
          <w:color w:val="0D133D" w:themeColor="text1"/>
          <w:sz w:val="20"/>
          <w:szCs w:val="20"/>
          <w:highlight w:val="yellow"/>
        </w:rPr>
      </w:pPr>
    </w:p>
    <w:p w14:paraId="40AA42C1" w14:textId="69818CE9" w:rsidR="000055BA" w:rsidRPr="002148AA" w:rsidRDefault="000055BA" w:rsidP="000055BA">
      <w:pPr>
        <w:jc w:val="both"/>
        <w:rPr>
          <w:rFonts w:ascii="Lato" w:hAnsi="Lato" w:cs="Arial"/>
          <w:sz w:val="20"/>
          <w:szCs w:val="20"/>
        </w:rPr>
      </w:pPr>
      <w:r w:rsidRPr="002148AA">
        <w:rPr>
          <w:rFonts w:ascii="Lato" w:hAnsi="Lato" w:cs="Arial"/>
          <w:sz w:val="20"/>
          <w:szCs w:val="20"/>
        </w:rPr>
        <w:lastRenderedPageBreak/>
        <w:t xml:space="preserve">The consent I give to the Company will last for </w:t>
      </w:r>
      <w:r w:rsidR="00B021E4">
        <w:rPr>
          <w:rFonts w:ascii="Lato" w:hAnsi="Lato" w:cs="Arial"/>
          <w:sz w:val="20"/>
          <w:szCs w:val="20"/>
        </w:rPr>
        <w:t>2</w:t>
      </w:r>
      <w:r w:rsidR="002148AA" w:rsidRPr="002148AA">
        <w:rPr>
          <w:rFonts w:ascii="Lato" w:hAnsi="Lato" w:cs="Arial"/>
          <w:sz w:val="20"/>
          <w:szCs w:val="20"/>
        </w:rPr>
        <w:t xml:space="preserve"> year</w:t>
      </w:r>
      <w:r w:rsidR="00B021E4">
        <w:rPr>
          <w:rFonts w:ascii="Lato" w:hAnsi="Lato" w:cs="Arial"/>
          <w:sz w:val="20"/>
          <w:szCs w:val="20"/>
        </w:rPr>
        <w:t>s</w:t>
      </w:r>
      <w:r w:rsidR="007C1F2B">
        <w:rPr>
          <w:rFonts w:ascii="Lato" w:hAnsi="Lato" w:cs="Arial"/>
          <w:sz w:val="20"/>
          <w:szCs w:val="20"/>
        </w:rPr>
        <w:t>.</w:t>
      </w:r>
    </w:p>
    <w:p w14:paraId="5ECFB5E9" w14:textId="77777777" w:rsidR="000055BA" w:rsidRPr="000055BA" w:rsidRDefault="000055BA" w:rsidP="000055BA">
      <w:pPr>
        <w:jc w:val="both"/>
        <w:rPr>
          <w:rFonts w:ascii="Lato" w:hAnsi="Lato" w:cs="Arial"/>
          <w:b/>
          <w:color w:val="0D133D" w:themeColor="text1"/>
          <w:sz w:val="20"/>
          <w:szCs w:val="20"/>
        </w:rPr>
      </w:pPr>
    </w:p>
    <w:p w14:paraId="618296A4" w14:textId="2AC9AC22" w:rsidR="000055BA" w:rsidRPr="002148AA" w:rsidRDefault="000055BA" w:rsidP="002148AA">
      <w:pPr>
        <w:jc w:val="both"/>
        <w:rPr>
          <w:rFonts w:ascii="Lato" w:hAnsi="Lato" w:cs="Arial"/>
          <w:sz w:val="20"/>
          <w:szCs w:val="20"/>
        </w:rPr>
      </w:pPr>
      <w:r w:rsidRPr="002148AA">
        <w:rPr>
          <w:rFonts w:ascii="Lato" w:hAnsi="Lato" w:cs="Arial"/>
          <w:sz w:val="20"/>
          <w:szCs w:val="20"/>
        </w:rPr>
        <w:t xml:space="preserve">I am aware that I have the right to withdraw my consent at any time by informing the Company that I wish to do so. </w:t>
      </w:r>
    </w:p>
    <w:p w14:paraId="69D9FA1A" w14:textId="77777777" w:rsidR="000055BA" w:rsidRPr="002148AA" w:rsidRDefault="000055BA" w:rsidP="000055BA">
      <w:pPr>
        <w:jc w:val="both"/>
        <w:rPr>
          <w:rFonts w:ascii="Lato" w:hAnsi="Lato" w:cs="Arial"/>
          <w:b/>
          <w:sz w:val="20"/>
          <w:szCs w:val="20"/>
        </w:rPr>
      </w:pPr>
    </w:p>
    <w:p w14:paraId="6A5CA031" w14:textId="77777777" w:rsidR="000055BA" w:rsidRPr="002148AA" w:rsidRDefault="000055BA" w:rsidP="000055BA">
      <w:pPr>
        <w:jc w:val="both"/>
        <w:rPr>
          <w:rFonts w:ascii="Lato" w:hAnsi="Lato" w:cs="Arial"/>
          <w:b/>
          <w:sz w:val="20"/>
          <w:szCs w:val="20"/>
        </w:rPr>
      </w:pPr>
      <w:r w:rsidRPr="002148AA">
        <w:rPr>
          <w:rFonts w:ascii="Lato" w:hAnsi="Lato" w:cs="Arial"/>
          <w:b/>
          <w:sz w:val="20"/>
          <w:szCs w:val="20"/>
        </w:rPr>
        <w:t xml:space="preserve">Signed by candidate / temporary worker: </w:t>
      </w:r>
      <w:r w:rsidRPr="002148AA">
        <w:rPr>
          <w:rFonts w:ascii="Lato" w:hAnsi="Lato" w:cs="Arial"/>
          <w:b/>
          <w:sz w:val="20"/>
          <w:szCs w:val="20"/>
        </w:rPr>
        <w:tab/>
        <w:t>………………………………………………………………………………</w:t>
      </w:r>
    </w:p>
    <w:p w14:paraId="7E7A7574" w14:textId="77777777" w:rsidR="000055BA" w:rsidRPr="002148AA" w:rsidRDefault="000055BA" w:rsidP="000055BA">
      <w:pPr>
        <w:jc w:val="both"/>
        <w:rPr>
          <w:rFonts w:ascii="Lato" w:hAnsi="Lato" w:cs="Arial"/>
          <w:b/>
          <w:sz w:val="20"/>
          <w:szCs w:val="20"/>
        </w:rPr>
      </w:pPr>
      <w:r w:rsidRPr="002148AA">
        <w:rPr>
          <w:rFonts w:ascii="Lato" w:hAnsi="Lato" w:cs="Arial"/>
          <w:b/>
          <w:sz w:val="20"/>
          <w:szCs w:val="20"/>
        </w:rPr>
        <w:t>Date:</w:t>
      </w:r>
      <w:r w:rsidRPr="002148AA">
        <w:rPr>
          <w:rFonts w:ascii="Lato" w:hAnsi="Lato" w:cs="Arial"/>
          <w:b/>
          <w:sz w:val="20"/>
          <w:szCs w:val="20"/>
        </w:rPr>
        <w:tab/>
      </w:r>
      <w:r w:rsidRPr="002148AA">
        <w:rPr>
          <w:rFonts w:ascii="Lato" w:hAnsi="Lato" w:cs="Arial"/>
          <w:b/>
          <w:sz w:val="20"/>
          <w:szCs w:val="20"/>
        </w:rPr>
        <w:tab/>
      </w:r>
      <w:r w:rsidRPr="002148AA">
        <w:rPr>
          <w:rFonts w:ascii="Lato" w:hAnsi="Lato" w:cs="Arial"/>
          <w:b/>
          <w:sz w:val="20"/>
          <w:szCs w:val="20"/>
        </w:rPr>
        <w:tab/>
      </w:r>
      <w:r w:rsidRPr="002148AA">
        <w:rPr>
          <w:rFonts w:ascii="Lato" w:hAnsi="Lato" w:cs="Arial"/>
          <w:b/>
          <w:sz w:val="20"/>
          <w:szCs w:val="20"/>
        </w:rPr>
        <w:tab/>
      </w:r>
      <w:r w:rsidRPr="002148AA">
        <w:rPr>
          <w:rFonts w:ascii="Lato" w:hAnsi="Lato" w:cs="Arial"/>
          <w:b/>
          <w:sz w:val="20"/>
          <w:szCs w:val="20"/>
        </w:rPr>
        <w:tab/>
      </w:r>
      <w:r w:rsidRPr="002148AA">
        <w:rPr>
          <w:rFonts w:ascii="Lato" w:hAnsi="Lato" w:cs="Arial"/>
          <w:b/>
          <w:sz w:val="20"/>
          <w:szCs w:val="20"/>
        </w:rPr>
        <w:tab/>
        <w:t>………………………………………………………………………………</w:t>
      </w:r>
    </w:p>
    <w:p w14:paraId="3AF8D46F" w14:textId="77777777" w:rsidR="000055BA" w:rsidRPr="000055BA" w:rsidRDefault="000055BA" w:rsidP="000055BA">
      <w:pPr>
        <w:jc w:val="both"/>
        <w:rPr>
          <w:rFonts w:ascii="Lato" w:hAnsi="Lato" w:cs="Arial"/>
          <w:b/>
          <w:color w:val="0D133D" w:themeColor="text1"/>
          <w:sz w:val="20"/>
          <w:szCs w:val="20"/>
        </w:rPr>
      </w:pPr>
    </w:p>
    <w:p w14:paraId="76FA7260" w14:textId="77777777" w:rsidR="000055BA" w:rsidRPr="000055BA" w:rsidRDefault="000055BA" w:rsidP="000055BA">
      <w:pPr>
        <w:jc w:val="both"/>
        <w:rPr>
          <w:rFonts w:ascii="Lato" w:hAnsi="Lato" w:cs="Arial"/>
          <w:b/>
          <w:color w:val="0D133D" w:themeColor="text1"/>
          <w:sz w:val="20"/>
          <w:szCs w:val="20"/>
        </w:rPr>
      </w:pPr>
    </w:p>
    <w:p w14:paraId="0102B4BB" w14:textId="77777777" w:rsidR="000055BA" w:rsidRPr="000055BA" w:rsidRDefault="000055BA" w:rsidP="000055BA">
      <w:pPr>
        <w:ind w:right="284"/>
        <w:rPr>
          <w:rFonts w:ascii="Lato" w:hAnsi="Lato" w:cs="Arial"/>
          <w:b/>
          <w:i/>
          <w:color w:val="FF0000"/>
          <w:sz w:val="20"/>
          <w:szCs w:val="20"/>
        </w:rPr>
      </w:pPr>
    </w:p>
    <w:p w14:paraId="5FDC141E" w14:textId="77777777" w:rsidR="000055BA" w:rsidRPr="000055BA" w:rsidRDefault="000055BA" w:rsidP="000055BA">
      <w:pPr>
        <w:ind w:right="284"/>
        <w:rPr>
          <w:rFonts w:ascii="Lato" w:hAnsi="Lato" w:cs="Arial"/>
          <w:b/>
          <w:i/>
          <w:color w:val="FF0000"/>
          <w:sz w:val="20"/>
          <w:szCs w:val="20"/>
        </w:rPr>
      </w:pPr>
    </w:p>
    <w:p w14:paraId="5292922E" w14:textId="77777777" w:rsidR="00884D5C" w:rsidRDefault="00884D5C">
      <w:pPr>
        <w:rPr>
          <w:rFonts w:ascii="Lato" w:hAnsi="Lato" w:cs="Arial"/>
          <w:b/>
          <w:i/>
          <w:color w:val="FF0000"/>
          <w:sz w:val="20"/>
          <w:szCs w:val="20"/>
        </w:rPr>
      </w:pPr>
      <w:r>
        <w:rPr>
          <w:rFonts w:ascii="Lato" w:hAnsi="Lato" w:cs="Arial"/>
          <w:b/>
          <w:i/>
          <w:color w:val="FF0000"/>
          <w:sz w:val="20"/>
          <w:szCs w:val="20"/>
        </w:rPr>
        <w:br w:type="page"/>
      </w:r>
    </w:p>
    <w:p w14:paraId="5EAA87EF" w14:textId="46FC7999" w:rsidR="000055BA" w:rsidRPr="000055BA" w:rsidRDefault="000055BA" w:rsidP="00884D5C">
      <w:pPr>
        <w:pStyle w:val="IntroductionParagraph"/>
      </w:pPr>
      <w:r w:rsidRPr="000055BA">
        <w:lastRenderedPageBreak/>
        <w:t>NOTES – delete these notes from the terms given to the individual</w:t>
      </w:r>
    </w:p>
    <w:tbl>
      <w:tblPr>
        <w:tblStyle w:val="RECtable1"/>
        <w:tblW w:w="0" w:type="auto"/>
        <w:tblLook w:val="01E0" w:firstRow="1" w:lastRow="1" w:firstColumn="1" w:lastColumn="1" w:noHBand="0" w:noVBand="0"/>
      </w:tblPr>
      <w:tblGrid>
        <w:gridCol w:w="988"/>
        <w:gridCol w:w="2430"/>
        <w:gridCol w:w="5598"/>
      </w:tblGrid>
      <w:tr w:rsidR="000055BA" w:rsidRPr="000055BA" w14:paraId="35D44036" w14:textId="77777777" w:rsidTr="00884D5C">
        <w:trPr>
          <w:cnfStyle w:val="100000000000" w:firstRow="1" w:lastRow="0" w:firstColumn="0" w:lastColumn="0" w:oddVBand="0" w:evenVBand="0" w:oddHBand="0" w:evenHBand="0" w:firstRowFirstColumn="0" w:firstRowLastColumn="0" w:lastRowFirstColumn="0" w:lastRowLastColumn="0"/>
          <w:trHeight w:val="480"/>
        </w:trPr>
        <w:tc>
          <w:tcPr>
            <w:tcW w:w="988" w:type="dxa"/>
          </w:tcPr>
          <w:p w14:paraId="4F2DD1D6" w14:textId="77777777" w:rsidR="000055BA" w:rsidRPr="000055BA" w:rsidRDefault="000055BA" w:rsidP="00793B00">
            <w:pPr>
              <w:ind w:right="284"/>
              <w:rPr>
                <w:b w:val="0"/>
                <w:sz w:val="20"/>
                <w:szCs w:val="20"/>
              </w:rPr>
            </w:pPr>
            <w:r w:rsidRPr="000055BA">
              <w:rPr>
                <w:sz w:val="20"/>
                <w:szCs w:val="20"/>
              </w:rPr>
              <w:t>Note</w:t>
            </w:r>
          </w:p>
          <w:p w14:paraId="2BD7DBCE" w14:textId="77777777" w:rsidR="000055BA" w:rsidRPr="000055BA" w:rsidRDefault="000055BA" w:rsidP="00793B00">
            <w:pPr>
              <w:ind w:right="284"/>
              <w:rPr>
                <w:b w:val="0"/>
                <w:sz w:val="20"/>
                <w:szCs w:val="20"/>
              </w:rPr>
            </w:pPr>
          </w:p>
        </w:tc>
        <w:tc>
          <w:tcPr>
            <w:tcW w:w="2409" w:type="dxa"/>
          </w:tcPr>
          <w:p w14:paraId="1318383E" w14:textId="77777777" w:rsidR="000055BA" w:rsidRPr="000055BA" w:rsidRDefault="000055BA" w:rsidP="00793B00">
            <w:pPr>
              <w:ind w:right="284"/>
              <w:rPr>
                <w:b w:val="0"/>
                <w:sz w:val="20"/>
                <w:szCs w:val="20"/>
              </w:rPr>
            </w:pPr>
            <w:r w:rsidRPr="000055BA">
              <w:rPr>
                <w:sz w:val="20"/>
                <w:szCs w:val="20"/>
              </w:rPr>
              <w:t xml:space="preserve">Section </w:t>
            </w:r>
          </w:p>
          <w:p w14:paraId="2332642A" w14:textId="77777777" w:rsidR="000055BA" w:rsidRPr="000055BA" w:rsidRDefault="000055BA" w:rsidP="00793B00">
            <w:pPr>
              <w:ind w:right="284"/>
              <w:rPr>
                <w:b w:val="0"/>
                <w:sz w:val="20"/>
                <w:szCs w:val="20"/>
              </w:rPr>
            </w:pPr>
          </w:p>
        </w:tc>
        <w:tc>
          <w:tcPr>
            <w:tcW w:w="5619" w:type="dxa"/>
          </w:tcPr>
          <w:p w14:paraId="5F39573A" w14:textId="77777777" w:rsidR="000055BA" w:rsidRPr="000055BA" w:rsidRDefault="000055BA" w:rsidP="00793B00">
            <w:pPr>
              <w:ind w:right="284"/>
              <w:rPr>
                <w:b w:val="0"/>
                <w:sz w:val="20"/>
                <w:szCs w:val="20"/>
              </w:rPr>
            </w:pPr>
            <w:r w:rsidRPr="000055BA">
              <w:rPr>
                <w:sz w:val="20"/>
                <w:szCs w:val="20"/>
              </w:rPr>
              <w:t>Explanation</w:t>
            </w:r>
          </w:p>
        </w:tc>
      </w:tr>
      <w:tr w:rsidR="000055BA" w:rsidRPr="000055BA" w14:paraId="0FAB5553" w14:textId="77777777" w:rsidTr="00884D5C">
        <w:tc>
          <w:tcPr>
            <w:tcW w:w="988" w:type="dxa"/>
          </w:tcPr>
          <w:p w14:paraId="2AB01FED" w14:textId="77777777" w:rsidR="000055BA" w:rsidRPr="000055BA" w:rsidRDefault="000055BA" w:rsidP="000055BA">
            <w:pPr>
              <w:pStyle w:val="ListParagraph"/>
              <w:numPr>
                <w:ilvl w:val="0"/>
                <w:numId w:val="34"/>
              </w:numPr>
              <w:ind w:right="284"/>
              <w:jc w:val="left"/>
            </w:pPr>
          </w:p>
        </w:tc>
        <w:tc>
          <w:tcPr>
            <w:tcW w:w="2409" w:type="dxa"/>
          </w:tcPr>
          <w:p w14:paraId="41C58570" w14:textId="77777777" w:rsidR="000055BA" w:rsidRPr="000055BA" w:rsidRDefault="000055BA" w:rsidP="00793B00">
            <w:pPr>
              <w:ind w:right="284"/>
              <w:rPr>
                <w:rFonts w:ascii="Lato" w:hAnsi="Lato"/>
                <w:szCs w:val="20"/>
              </w:rPr>
            </w:pPr>
            <w:r w:rsidRPr="000055BA">
              <w:rPr>
                <w:rFonts w:ascii="Lato" w:hAnsi="Lato"/>
                <w:szCs w:val="20"/>
              </w:rPr>
              <w:t>Consent</w:t>
            </w:r>
          </w:p>
        </w:tc>
        <w:tc>
          <w:tcPr>
            <w:tcW w:w="5619" w:type="dxa"/>
          </w:tcPr>
          <w:p w14:paraId="519CF852" w14:textId="77777777" w:rsidR="000055BA" w:rsidRPr="000055BA" w:rsidRDefault="000055BA" w:rsidP="00793B00">
            <w:pPr>
              <w:pStyle w:val="BodyText"/>
              <w:rPr>
                <w:rFonts w:cs="Helvetica"/>
                <w:color w:val="0D133D" w:themeColor="text1"/>
                <w:shd w:val="clear" w:color="auto" w:fill="FFFFFF"/>
              </w:rPr>
            </w:pPr>
            <w:r w:rsidRPr="000055BA">
              <w:rPr>
                <w:rFonts w:cs="Helvetica"/>
                <w:color w:val="0D133D" w:themeColor="text1"/>
                <w:shd w:val="clear" w:color="auto" w:fill="FFFFFF"/>
              </w:rPr>
              <w:t>In order for consent to be valid it must be:</w:t>
            </w:r>
          </w:p>
          <w:p w14:paraId="0DEF4B71" w14:textId="77777777" w:rsidR="000055BA" w:rsidRPr="000055BA" w:rsidRDefault="000055BA" w:rsidP="000055BA">
            <w:pPr>
              <w:pStyle w:val="BodyText"/>
              <w:numPr>
                <w:ilvl w:val="0"/>
                <w:numId w:val="38"/>
              </w:numPr>
              <w:jc w:val="both"/>
              <w:rPr>
                <w:rFonts w:cs="Helvetica"/>
                <w:color w:val="0D133D" w:themeColor="text1"/>
                <w:shd w:val="clear" w:color="auto" w:fill="FFFFFF"/>
              </w:rPr>
            </w:pPr>
            <w:r w:rsidRPr="000055BA">
              <w:rPr>
                <w:rFonts w:cs="Helvetica"/>
                <w:color w:val="0D133D" w:themeColor="text1"/>
                <w:shd w:val="clear" w:color="auto" w:fill="FFFFFF"/>
              </w:rPr>
              <w:t>freely given;</w:t>
            </w:r>
          </w:p>
          <w:p w14:paraId="302DE5E0" w14:textId="77777777" w:rsidR="000055BA" w:rsidRPr="000055BA" w:rsidRDefault="000055BA" w:rsidP="000055BA">
            <w:pPr>
              <w:pStyle w:val="BodyText"/>
              <w:numPr>
                <w:ilvl w:val="0"/>
                <w:numId w:val="38"/>
              </w:numPr>
              <w:jc w:val="both"/>
              <w:rPr>
                <w:rFonts w:cs="Helvetica"/>
                <w:color w:val="0D133D" w:themeColor="text1"/>
                <w:shd w:val="clear" w:color="auto" w:fill="FFFFFF"/>
              </w:rPr>
            </w:pPr>
            <w:r w:rsidRPr="000055BA">
              <w:rPr>
                <w:rFonts w:cs="Helvetica"/>
                <w:color w:val="0D133D" w:themeColor="text1"/>
                <w:shd w:val="clear" w:color="auto" w:fill="FFFFFF"/>
              </w:rPr>
              <w:t>specific;</w:t>
            </w:r>
          </w:p>
          <w:p w14:paraId="6BD88236" w14:textId="77777777" w:rsidR="000055BA" w:rsidRPr="000055BA" w:rsidRDefault="000055BA" w:rsidP="000055BA">
            <w:pPr>
              <w:pStyle w:val="BodyText"/>
              <w:numPr>
                <w:ilvl w:val="0"/>
                <w:numId w:val="38"/>
              </w:numPr>
              <w:jc w:val="both"/>
              <w:rPr>
                <w:rFonts w:cs="Helvetica"/>
                <w:color w:val="0D133D" w:themeColor="text1"/>
                <w:shd w:val="clear" w:color="auto" w:fill="FFFFFF"/>
              </w:rPr>
            </w:pPr>
            <w:r w:rsidRPr="000055BA">
              <w:rPr>
                <w:rFonts w:cs="Helvetica"/>
                <w:color w:val="0D133D" w:themeColor="text1"/>
                <w:shd w:val="clear" w:color="auto" w:fill="FFFFFF"/>
              </w:rPr>
              <w:t>informed;</w:t>
            </w:r>
          </w:p>
          <w:p w14:paraId="6C084887" w14:textId="77777777" w:rsidR="000055BA" w:rsidRPr="000055BA" w:rsidRDefault="000055BA" w:rsidP="000055BA">
            <w:pPr>
              <w:pStyle w:val="BodyText"/>
              <w:numPr>
                <w:ilvl w:val="0"/>
                <w:numId w:val="38"/>
              </w:numPr>
              <w:jc w:val="both"/>
              <w:rPr>
                <w:rFonts w:cs="Helvetica"/>
                <w:color w:val="0D133D" w:themeColor="text1"/>
                <w:shd w:val="clear" w:color="auto" w:fill="FFFFFF"/>
              </w:rPr>
            </w:pPr>
            <w:r w:rsidRPr="000055BA">
              <w:rPr>
                <w:rFonts w:cs="Helvetica"/>
                <w:color w:val="0D133D" w:themeColor="text1"/>
                <w:shd w:val="clear" w:color="auto" w:fill="FFFFFF"/>
              </w:rPr>
              <w:t>unambiguous i.e. it must be clear and affirmative; and</w:t>
            </w:r>
          </w:p>
          <w:p w14:paraId="14D34713" w14:textId="77777777" w:rsidR="000055BA" w:rsidRPr="000055BA" w:rsidRDefault="000055BA" w:rsidP="000055BA">
            <w:pPr>
              <w:pStyle w:val="BodyText"/>
              <w:numPr>
                <w:ilvl w:val="0"/>
                <w:numId w:val="38"/>
              </w:numPr>
              <w:jc w:val="both"/>
              <w:rPr>
                <w:rFonts w:cs="Helvetica"/>
                <w:color w:val="0D133D" w:themeColor="text1"/>
                <w:shd w:val="clear" w:color="auto" w:fill="FFFFFF"/>
              </w:rPr>
            </w:pPr>
            <w:r w:rsidRPr="000055BA">
              <w:rPr>
                <w:rFonts w:cs="Helvetica"/>
                <w:color w:val="0D133D" w:themeColor="text1"/>
                <w:shd w:val="clear" w:color="auto" w:fill="FFFFFF"/>
              </w:rPr>
              <w:t>it must be as easy to withdraw as it is to give consent.</w:t>
            </w:r>
          </w:p>
          <w:p w14:paraId="085A6A44" w14:textId="77777777" w:rsidR="000055BA" w:rsidRPr="000055BA" w:rsidRDefault="000055BA" w:rsidP="00793B00">
            <w:pPr>
              <w:pStyle w:val="BodyText"/>
              <w:ind w:left="360"/>
              <w:rPr>
                <w:rFonts w:cs="Helvetica"/>
                <w:color w:val="0D133D" w:themeColor="text1"/>
                <w:shd w:val="clear" w:color="auto" w:fill="FFFFFF"/>
              </w:rPr>
            </w:pPr>
          </w:p>
        </w:tc>
      </w:tr>
      <w:tr w:rsidR="000055BA" w:rsidRPr="000055BA" w14:paraId="3D7687A4" w14:textId="77777777" w:rsidTr="00884D5C">
        <w:tc>
          <w:tcPr>
            <w:tcW w:w="988" w:type="dxa"/>
          </w:tcPr>
          <w:p w14:paraId="3AF5017B" w14:textId="77777777" w:rsidR="000055BA" w:rsidRPr="000055BA" w:rsidRDefault="000055BA" w:rsidP="000055BA">
            <w:pPr>
              <w:pStyle w:val="ListParagraph"/>
              <w:numPr>
                <w:ilvl w:val="0"/>
                <w:numId w:val="34"/>
              </w:numPr>
              <w:ind w:right="284"/>
              <w:jc w:val="left"/>
            </w:pPr>
          </w:p>
        </w:tc>
        <w:tc>
          <w:tcPr>
            <w:tcW w:w="2409" w:type="dxa"/>
          </w:tcPr>
          <w:p w14:paraId="6446AB97" w14:textId="77777777" w:rsidR="000055BA" w:rsidRPr="000055BA" w:rsidRDefault="000055BA" w:rsidP="00793B00">
            <w:pPr>
              <w:ind w:right="284"/>
              <w:rPr>
                <w:rFonts w:ascii="Lato" w:hAnsi="Lato"/>
                <w:szCs w:val="20"/>
              </w:rPr>
            </w:pPr>
            <w:r w:rsidRPr="000055BA">
              <w:rPr>
                <w:rFonts w:ascii="Lato" w:hAnsi="Lato"/>
                <w:szCs w:val="20"/>
              </w:rPr>
              <w:t>Personal data</w:t>
            </w:r>
          </w:p>
        </w:tc>
        <w:tc>
          <w:tcPr>
            <w:tcW w:w="5619" w:type="dxa"/>
          </w:tcPr>
          <w:p w14:paraId="0631ACE1" w14:textId="77777777" w:rsidR="000055BA" w:rsidRPr="000055BA" w:rsidRDefault="000055BA" w:rsidP="00793B00">
            <w:pPr>
              <w:pStyle w:val="BodyText"/>
              <w:rPr>
                <w:color w:val="0D133D" w:themeColor="text1"/>
              </w:rPr>
            </w:pPr>
            <w:r w:rsidRPr="000055BA">
              <w:rPr>
                <w:rFonts w:cs="Helvetica"/>
                <w:color w:val="0D133D" w:themeColor="text1"/>
                <w:shd w:val="clear" w:color="auto" w:fill="FFFFFF"/>
              </w:rPr>
              <w:t>This type of data means any information relating to an individual who can be identified, such as by a name, an identification number, location data, an online identifier or to one or more factors specific to the physical, physiological, genetic, mental, economic, cultural or social identity of that natural person</w:t>
            </w:r>
            <w:r w:rsidRPr="000055BA">
              <w:rPr>
                <w:color w:val="0D133D" w:themeColor="text1"/>
              </w:rPr>
              <w:t xml:space="preserve">. </w:t>
            </w:r>
          </w:p>
          <w:p w14:paraId="3AC1F23B" w14:textId="77777777" w:rsidR="000055BA" w:rsidRPr="000055BA" w:rsidRDefault="000055BA" w:rsidP="00793B00">
            <w:pPr>
              <w:pStyle w:val="BodyText"/>
              <w:rPr>
                <w:color w:val="0D133D" w:themeColor="text1"/>
              </w:rPr>
            </w:pPr>
          </w:p>
        </w:tc>
      </w:tr>
      <w:tr w:rsidR="000055BA" w:rsidRPr="000055BA" w14:paraId="151CA353" w14:textId="77777777" w:rsidTr="00884D5C">
        <w:tc>
          <w:tcPr>
            <w:tcW w:w="988" w:type="dxa"/>
          </w:tcPr>
          <w:p w14:paraId="073E7FFD" w14:textId="77777777" w:rsidR="000055BA" w:rsidRPr="000055BA" w:rsidRDefault="000055BA" w:rsidP="000055BA">
            <w:pPr>
              <w:pStyle w:val="ListParagraph"/>
              <w:numPr>
                <w:ilvl w:val="0"/>
                <w:numId w:val="34"/>
              </w:numPr>
              <w:ind w:right="284"/>
              <w:jc w:val="left"/>
            </w:pPr>
          </w:p>
        </w:tc>
        <w:tc>
          <w:tcPr>
            <w:tcW w:w="2409" w:type="dxa"/>
          </w:tcPr>
          <w:p w14:paraId="03C0C57C" w14:textId="77777777" w:rsidR="000055BA" w:rsidRPr="000055BA" w:rsidRDefault="000055BA" w:rsidP="00793B00">
            <w:pPr>
              <w:ind w:right="284"/>
              <w:rPr>
                <w:rFonts w:ascii="Lato" w:hAnsi="Lato"/>
                <w:szCs w:val="20"/>
              </w:rPr>
            </w:pPr>
            <w:r w:rsidRPr="000055BA">
              <w:rPr>
                <w:rFonts w:ascii="Lato" w:hAnsi="Lato"/>
                <w:szCs w:val="20"/>
              </w:rPr>
              <w:t>Personal data</w:t>
            </w:r>
          </w:p>
        </w:tc>
        <w:tc>
          <w:tcPr>
            <w:tcW w:w="5619" w:type="dxa"/>
          </w:tcPr>
          <w:p w14:paraId="1564DED8" w14:textId="25D187A7" w:rsidR="000055BA" w:rsidRPr="000055BA" w:rsidRDefault="000055BA" w:rsidP="00793B00">
            <w:pPr>
              <w:ind w:right="284"/>
              <w:rPr>
                <w:rFonts w:ascii="Lato" w:hAnsi="Lato"/>
                <w:szCs w:val="20"/>
              </w:rPr>
            </w:pPr>
            <w:r w:rsidRPr="000055BA">
              <w:rPr>
                <w:rFonts w:ascii="Lato" w:hAnsi="Lato"/>
                <w:szCs w:val="20"/>
              </w:rPr>
              <w:t xml:space="preserve">If you intend to process another type of personal data that requires the individual’s </w:t>
            </w:r>
            <w:r w:rsidR="002F266D" w:rsidRPr="000055BA">
              <w:rPr>
                <w:rFonts w:ascii="Lato" w:hAnsi="Lato"/>
                <w:szCs w:val="20"/>
              </w:rPr>
              <w:t>consent,</w:t>
            </w:r>
            <w:r w:rsidRPr="000055BA">
              <w:rPr>
                <w:rFonts w:ascii="Lato" w:hAnsi="Lato"/>
                <w:szCs w:val="20"/>
              </w:rPr>
              <w:t xml:space="preserve"> then list this here.</w:t>
            </w:r>
          </w:p>
          <w:p w14:paraId="59C5D22B" w14:textId="77777777" w:rsidR="000055BA" w:rsidRPr="000055BA" w:rsidRDefault="000055BA" w:rsidP="00793B00">
            <w:pPr>
              <w:ind w:right="284"/>
              <w:rPr>
                <w:rFonts w:ascii="Lato" w:hAnsi="Lato"/>
                <w:szCs w:val="20"/>
              </w:rPr>
            </w:pPr>
          </w:p>
        </w:tc>
      </w:tr>
      <w:tr w:rsidR="000055BA" w:rsidRPr="000055BA" w14:paraId="28E24A72" w14:textId="77777777" w:rsidTr="00884D5C">
        <w:tc>
          <w:tcPr>
            <w:tcW w:w="988" w:type="dxa"/>
          </w:tcPr>
          <w:p w14:paraId="06B2699E" w14:textId="77777777" w:rsidR="000055BA" w:rsidRPr="000055BA" w:rsidRDefault="000055BA" w:rsidP="000055BA">
            <w:pPr>
              <w:pStyle w:val="ListParagraph"/>
              <w:numPr>
                <w:ilvl w:val="0"/>
                <w:numId w:val="34"/>
              </w:numPr>
              <w:ind w:right="284"/>
              <w:jc w:val="left"/>
            </w:pPr>
          </w:p>
        </w:tc>
        <w:tc>
          <w:tcPr>
            <w:tcW w:w="2409" w:type="dxa"/>
          </w:tcPr>
          <w:p w14:paraId="058A8A4D" w14:textId="77777777" w:rsidR="000055BA" w:rsidRPr="000055BA" w:rsidRDefault="000055BA" w:rsidP="00793B00">
            <w:pPr>
              <w:ind w:right="284"/>
              <w:rPr>
                <w:rFonts w:ascii="Lato" w:hAnsi="Lato"/>
                <w:szCs w:val="20"/>
              </w:rPr>
            </w:pPr>
            <w:r w:rsidRPr="000055BA">
              <w:rPr>
                <w:rFonts w:ascii="Lato" w:hAnsi="Lato" w:cstheme="minorHAnsi"/>
                <w:szCs w:val="20"/>
              </w:rPr>
              <w:t xml:space="preserve">Special categories of </w:t>
            </w:r>
            <w:r w:rsidRPr="000055BA">
              <w:rPr>
                <w:rFonts w:ascii="Lato" w:hAnsi="Lato"/>
                <w:szCs w:val="20"/>
              </w:rPr>
              <w:t>personal data</w:t>
            </w:r>
          </w:p>
        </w:tc>
        <w:tc>
          <w:tcPr>
            <w:tcW w:w="5619" w:type="dxa"/>
          </w:tcPr>
          <w:p w14:paraId="2EE84C6B" w14:textId="77777777" w:rsidR="000055BA" w:rsidRPr="000055BA" w:rsidRDefault="000055BA" w:rsidP="00793B00">
            <w:pPr>
              <w:rPr>
                <w:rFonts w:ascii="Lato" w:hAnsi="Lato" w:cstheme="minorHAnsi"/>
                <w:szCs w:val="20"/>
              </w:rPr>
            </w:pPr>
            <w:r w:rsidRPr="000055BA">
              <w:rPr>
                <w:rFonts w:ascii="Lato" w:hAnsi="Lato" w:cstheme="minorHAnsi"/>
                <w:szCs w:val="20"/>
              </w:rPr>
              <w:t xml:space="preserve">The Data Protection Act 1998 used the term ‘sensitive personal data’ which includes information on an individual’s physical and mental health, sexual orientation, race or ethnic origin, religious beliefs, trade union membership and criminal records. </w:t>
            </w:r>
          </w:p>
          <w:p w14:paraId="20C8714D" w14:textId="77777777" w:rsidR="000055BA" w:rsidRPr="000055BA" w:rsidRDefault="000055BA" w:rsidP="00793B00">
            <w:pPr>
              <w:rPr>
                <w:rFonts w:ascii="Lato" w:hAnsi="Lato" w:cstheme="minorHAnsi"/>
                <w:szCs w:val="20"/>
              </w:rPr>
            </w:pPr>
          </w:p>
          <w:p w14:paraId="44AF54F0" w14:textId="2AFCEA3F" w:rsidR="000055BA" w:rsidRPr="000055BA" w:rsidRDefault="000055BA" w:rsidP="00793B00">
            <w:pPr>
              <w:jc w:val="both"/>
              <w:rPr>
                <w:rFonts w:ascii="Lato" w:hAnsi="Lato" w:cstheme="minorHAnsi"/>
                <w:szCs w:val="20"/>
              </w:rPr>
            </w:pPr>
            <w:r w:rsidRPr="000055BA">
              <w:rPr>
                <w:rFonts w:ascii="Lato" w:hAnsi="Lato" w:cstheme="minorHAnsi"/>
                <w:szCs w:val="20"/>
              </w:rPr>
              <w:t xml:space="preserve">The GDPR and UK GDPR uses the term ‘special categories of personal data’ which includes racial or ethnic origin, political opinion, religious or philosophical beliefs or trade union membership, genetic or biometric data, data concerning health or a person’s sex life or sexual orientation. Interestingly it does not include criminal records. </w:t>
            </w:r>
            <w:r w:rsidR="002F266D" w:rsidRPr="000055BA">
              <w:rPr>
                <w:rFonts w:ascii="Lato" w:hAnsi="Lato" w:cstheme="minorHAnsi"/>
                <w:szCs w:val="20"/>
              </w:rPr>
              <w:t>However,</w:t>
            </w:r>
            <w:r w:rsidRPr="000055BA">
              <w:rPr>
                <w:rFonts w:ascii="Lato" w:hAnsi="Lato" w:cstheme="minorHAnsi"/>
                <w:szCs w:val="20"/>
              </w:rPr>
              <w:t xml:space="preserve"> the Data Protection Act 2018 does specify that sensitive processing includes processing of special categories of data and personal data relating to criminal convictions and offences.</w:t>
            </w:r>
          </w:p>
          <w:p w14:paraId="155A5D59" w14:textId="77777777" w:rsidR="000055BA" w:rsidRPr="000055BA" w:rsidRDefault="000055BA" w:rsidP="00793B00">
            <w:pPr>
              <w:jc w:val="both"/>
              <w:rPr>
                <w:rFonts w:ascii="Lato" w:hAnsi="Lato" w:cs="Arial"/>
                <w:color w:val="0D133D" w:themeColor="text1"/>
                <w:szCs w:val="20"/>
              </w:rPr>
            </w:pPr>
          </w:p>
          <w:p w14:paraId="46BBD0DC" w14:textId="77777777" w:rsidR="000055BA" w:rsidRPr="000055BA" w:rsidRDefault="000055BA" w:rsidP="00793B00">
            <w:pPr>
              <w:jc w:val="both"/>
              <w:rPr>
                <w:rFonts w:ascii="Lato" w:hAnsi="Lato" w:cs="Arial"/>
                <w:color w:val="0D133D" w:themeColor="text1"/>
                <w:szCs w:val="20"/>
              </w:rPr>
            </w:pPr>
            <w:r w:rsidRPr="000055BA">
              <w:rPr>
                <w:rFonts w:ascii="Lato" w:hAnsi="Lato" w:cs="Arial"/>
                <w:color w:val="0D133D" w:themeColor="text1"/>
                <w:szCs w:val="20"/>
              </w:rPr>
              <w:t>You should set out specifically what special categories of personal data you are processing (e.g. that the individual has epilepsy).</w:t>
            </w:r>
          </w:p>
          <w:p w14:paraId="2E48643C" w14:textId="77777777" w:rsidR="000055BA" w:rsidRPr="000055BA" w:rsidRDefault="000055BA" w:rsidP="00793B00">
            <w:pPr>
              <w:jc w:val="both"/>
              <w:rPr>
                <w:rFonts w:ascii="Lato" w:hAnsi="Lato" w:cs="Arial"/>
                <w:color w:val="0D133D" w:themeColor="text1"/>
                <w:szCs w:val="20"/>
              </w:rPr>
            </w:pPr>
          </w:p>
          <w:p w14:paraId="2A3A233F" w14:textId="77777777" w:rsidR="000055BA" w:rsidRPr="000055BA" w:rsidRDefault="000055BA" w:rsidP="00793B00">
            <w:pPr>
              <w:jc w:val="both"/>
              <w:rPr>
                <w:rFonts w:ascii="Lato" w:hAnsi="Lato" w:cs="Arial"/>
                <w:color w:val="0D133D" w:themeColor="text1"/>
                <w:szCs w:val="20"/>
              </w:rPr>
            </w:pPr>
            <w:r w:rsidRPr="000055BA">
              <w:rPr>
                <w:rFonts w:ascii="Lato" w:hAnsi="Lato" w:cs="Arial"/>
                <w:color w:val="0D133D" w:themeColor="text1"/>
                <w:szCs w:val="20"/>
              </w:rPr>
              <w:t>Where you intend to process special categories of personal data on the basis of consent, the consent will need to be explicit. The REC recommends that you document consent for special categories of personal data in a declaration form such as this one.</w:t>
            </w:r>
          </w:p>
          <w:p w14:paraId="1366EC60" w14:textId="77777777" w:rsidR="000055BA" w:rsidRPr="000055BA" w:rsidRDefault="000055BA" w:rsidP="00793B00">
            <w:pPr>
              <w:jc w:val="both"/>
              <w:rPr>
                <w:rFonts w:ascii="Lato" w:hAnsi="Lato" w:cs="Arial"/>
                <w:color w:val="0D133D" w:themeColor="text1"/>
                <w:szCs w:val="20"/>
              </w:rPr>
            </w:pPr>
          </w:p>
          <w:p w14:paraId="6E86D319" w14:textId="77777777" w:rsidR="000055BA" w:rsidRPr="000055BA" w:rsidRDefault="000055BA" w:rsidP="00793B00">
            <w:pPr>
              <w:jc w:val="both"/>
              <w:rPr>
                <w:rFonts w:ascii="Lato" w:hAnsi="Lato" w:cs="Arial"/>
                <w:color w:val="0D133D" w:themeColor="text1"/>
                <w:szCs w:val="20"/>
              </w:rPr>
            </w:pPr>
            <w:r w:rsidRPr="000055BA">
              <w:rPr>
                <w:rFonts w:ascii="Lato" w:hAnsi="Lato" w:cs="Arial"/>
                <w:color w:val="0D133D" w:themeColor="text1"/>
                <w:szCs w:val="20"/>
              </w:rPr>
              <w:t xml:space="preserve">Given the additional protections required for special categories of personal data, the REC recommends that you only obtain sensitive personal data that you are legally obliged to obtain or that is relevant to the particular role you are </w:t>
            </w:r>
            <w:r w:rsidRPr="000055BA">
              <w:rPr>
                <w:rFonts w:ascii="Lato" w:hAnsi="Lato" w:cs="Arial"/>
                <w:color w:val="0D133D" w:themeColor="text1"/>
                <w:szCs w:val="20"/>
              </w:rPr>
              <w:lastRenderedPageBreak/>
              <w:t>recruiting for. This will also help you to avoid allegations of potential discrimination under the Equality Act 2010.</w:t>
            </w:r>
          </w:p>
          <w:p w14:paraId="455D5713" w14:textId="77777777" w:rsidR="000055BA" w:rsidRPr="000055BA" w:rsidRDefault="000055BA" w:rsidP="00793B00">
            <w:pPr>
              <w:jc w:val="both"/>
              <w:rPr>
                <w:rFonts w:ascii="Lato" w:hAnsi="Lato" w:cs="Arial"/>
                <w:color w:val="0D133D" w:themeColor="text1"/>
                <w:szCs w:val="20"/>
              </w:rPr>
            </w:pPr>
          </w:p>
        </w:tc>
      </w:tr>
      <w:tr w:rsidR="000055BA" w:rsidRPr="000055BA" w14:paraId="0B85F606" w14:textId="77777777" w:rsidTr="00884D5C">
        <w:tc>
          <w:tcPr>
            <w:tcW w:w="988" w:type="dxa"/>
          </w:tcPr>
          <w:p w14:paraId="0C4EC964" w14:textId="77777777" w:rsidR="000055BA" w:rsidRPr="000055BA" w:rsidRDefault="000055BA" w:rsidP="000055BA">
            <w:pPr>
              <w:pStyle w:val="ListParagraph"/>
              <w:numPr>
                <w:ilvl w:val="0"/>
                <w:numId w:val="34"/>
              </w:numPr>
              <w:ind w:right="284"/>
              <w:jc w:val="left"/>
            </w:pPr>
          </w:p>
        </w:tc>
        <w:tc>
          <w:tcPr>
            <w:tcW w:w="2409" w:type="dxa"/>
          </w:tcPr>
          <w:p w14:paraId="4590A9DD" w14:textId="77777777" w:rsidR="000055BA" w:rsidRPr="000055BA" w:rsidRDefault="000055BA" w:rsidP="00793B00">
            <w:pPr>
              <w:ind w:right="284"/>
              <w:rPr>
                <w:rFonts w:ascii="Lato" w:hAnsi="Lato"/>
                <w:szCs w:val="20"/>
              </w:rPr>
            </w:pPr>
            <w:r w:rsidRPr="000055BA">
              <w:rPr>
                <w:rFonts w:ascii="Lato" w:hAnsi="Lato"/>
                <w:szCs w:val="20"/>
              </w:rPr>
              <w:t>Special categories of personal data</w:t>
            </w:r>
          </w:p>
        </w:tc>
        <w:tc>
          <w:tcPr>
            <w:tcW w:w="5619" w:type="dxa"/>
          </w:tcPr>
          <w:p w14:paraId="59D16763" w14:textId="77777777" w:rsidR="000055BA" w:rsidRPr="000055BA" w:rsidRDefault="000055BA" w:rsidP="00793B00">
            <w:pPr>
              <w:ind w:right="284"/>
              <w:rPr>
                <w:rFonts w:ascii="Lato" w:hAnsi="Lato"/>
                <w:szCs w:val="20"/>
              </w:rPr>
            </w:pPr>
            <w:r w:rsidRPr="000055BA">
              <w:rPr>
                <w:rFonts w:ascii="Lato" w:hAnsi="Lato"/>
                <w:szCs w:val="20"/>
              </w:rPr>
              <w:t>If you intend to process another type of special categories of personal data that requires the individual’s consent, then list this here.</w:t>
            </w:r>
          </w:p>
          <w:p w14:paraId="51783494" w14:textId="77777777" w:rsidR="000055BA" w:rsidRPr="000055BA" w:rsidRDefault="000055BA" w:rsidP="00793B00">
            <w:pPr>
              <w:ind w:right="284"/>
              <w:rPr>
                <w:rFonts w:ascii="Lato" w:hAnsi="Lato"/>
                <w:szCs w:val="20"/>
              </w:rPr>
            </w:pPr>
          </w:p>
        </w:tc>
      </w:tr>
      <w:tr w:rsidR="000055BA" w:rsidRPr="000055BA" w14:paraId="2F401B71" w14:textId="77777777" w:rsidTr="00884D5C">
        <w:tc>
          <w:tcPr>
            <w:tcW w:w="988" w:type="dxa"/>
          </w:tcPr>
          <w:p w14:paraId="2D3BF901" w14:textId="77777777" w:rsidR="000055BA" w:rsidRPr="000055BA" w:rsidRDefault="000055BA" w:rsidP="000055BA">
            <w:pPr>
              <w:pStyle w:val="ListParagraph"/>
              <w:numPr>
                <w:ilvl w:val="0"/>
                <w:numId w:val="34"/>
              </w:numPr>
              <w:ind w:right="284"/>
              <w:jc w:val="left"/>
            </w:pPr>
          </w:p>
        </w:tc>
        <w:tc>
          <w:tcPr>
            <w:tcW w:w="2409" w:type="dxa"/>
          </w:tcPr>
          <w:p w14:paraId="70CC775F" w14:textId="77777777" w:rsidR="000055BA" w:rsidRPr="000055BA" w:rsidRDefault="000055BA" w:rsidP="00793B00">
            <w:pPr>
              <w:ind w:right="284"/>
              <w:rPr>
                <w:rFonts w:ascii="Lato" w:hAnsi="Lato"/>
                <w:szCs w:val="20"/>
              </w:rPr>
            </w:pPr>
            <w:r w:rsidRPr="000055BA">
              <w:rPr>
                <w:rFonts w:ascii="Lato" w:hAnsi="Lato"/>
                <w:szCs w:val="20"/>
              </w:rPr>
              <w:t>Purposes of processing</w:t>
            </w:r>
          </w:p>
        </w:tc>
        <w:tc>
          <w:tcPr>
            <w:tcW w:w="5619" w:type="dxa"/>
          </w:tcPr>
          <w:p w14:paraId="6F0C79CF" w14:textId="77777777" w:rsidR="000055BA" w:rsidRPr="000055BA" w:rsidRDefault="000055BA" w:rsidP="00793B00">
            <w:pPr>
              <w:ind w:right="284"/>
              <w:rPr>
                <w:rFonts w:ascii="Lato" w:hAnsi="Lato"/>
                <w:szCs w:val="20"/>
              </w:rPr>
            </w:pPr>
            <w:r w:rsidRPr="000055BA">
              <w:rPr>
                <w:rFonts w:ascii="Lato" w:hAnsi="Lato"/>
                <w:szCs w:val="20"/>
              </w:rPr>
              <w:t xml:space="preserve">Please note the UK GDPR will require consent to be specific and informed (see Note 1 above). This means that you will need to state clearly who will be the recipient or category of recipient of the individual’s personal data and special categories of personal data e.g. such as your clients – it would be good practice to be specific about who our clients are (were possible). If you are not able to specifically list the recipients in the early stages of the recruitment process, then you should confirm the individual’s consent before you process the personal data or special categories of personal data with the recipient. </w:t>
            </w:r>
          </w:p>
          <w:p w14:paraId="4CA9F59B" w14:textId="77777777" w:rsidR="000055BA" w:rsidRPr="000055BA" w:rsidRDefault="000055BA" w:rsidP="00793B00">
            <w:pPr>
              <w:ind w:right="284"/>
              <w:rPr>
                <w:rFonts w:ascii="Lato" w:hAnsi="Lato"/>
                <w:szCs w:val="20"/>
              </w:rPr>
            </w:pPr>
          </w:p>
        </w:tc>
      </w:tr>
      <w:tr w:rsidR="000055BA" w:rsidRPr="000055BA" w14:paraId="1DF3B173" w14:textId="77777777" w:rsidTr="00884D5C">
        <w:tc>
          <w:tcPr>
            <w:tcW w:w="988" w:type="dxa"/>
          </w:tcPr>
          <w:p w14:paraId="4969999D" w14:textId="77777777" w:rsidR="000055BA" w:rsidRPr="000055BA" w:rsidRDefault="000055BA" w:rsidP="000055BA">
            <w:pPr>
              <w:pStyle w:val="ListParagraph"/>
              <w:numPr>
                <w:ilvl w:val="0"/>
                <w:numId w:val="34"/>
              </w:numPr>
              <w:ind w:right="284"/>
              <w:jc w:val="left"/>
            </w:pPr>
          </w:p>
        </w:tc>
        <w:tc>
          <w:tcPr>
            <w:tcW w:w="2409" w:type="dxa"/>
          </w:tcPr>
          <w:p w14:paraId="7336F486" w14:textId="77777777" w:rsidR="000055BA" w:rsidRPr="000055BA" w:rsidRDefault="000055BA" w:rsidP="00793B00">
            <w:pPr>
              <w:ind w:right="284"/>
              <w:rPr>
                <w:rFonts w:ascii="Lato" w:hAnsi="Lato"/>
                <w:szCs w:val="20"/>
              </w:rPr>
            </w:pPr>
            <w:r w:rsidRPr="000055BA">
              <w:rPr>
                <w:rFonts w:ascii="Lato" w:hAnsi="Lato"/>
                <w:szCs w:val="20"/>
              </w:rPr>
              <w:t xml:space="preserve">Purposes of processing/automated decision making </w:t>
            </w:r>
          </w:p>
        </w:tc>
        <w:tc>
          <w:tcPr>
            <w:tcW w:w="5619" w:type="dxa"/>
          </w:tcPr>
          <w:p w14:paraId="1E4FA661" w14:textId="77777777" w:rsidR="000055BA" w:rsidRPr="000055BA" w:rsidRDefault="000055BA" w:rsidP="00793B00">
            <w:pPr>
              <w:ind w:right="284"/>
              <w:rPr>
                <w:rFonts w:ascii="Lato" w:hAnsi="Lato"/>
                <w:szCs w:val="20"/>
              </w:rPr>
            </w:pPr>
            <w:r w:rsidRPr="000055BA">
              <w:rPr>
                <w:rFonts w:ascii="Lato" w:hAnsi="Lato"/>
                <w:szCs w:val="20"/>
              </w:rPr>
              <w:t xml:space="preserve">The UK GDPR provides that an individual has a ‘right not to be subject to a decision based solely on automated processing, including profiling, which produces legal effects concerning him or her or similarly significantly affects him or her’. However, this does not apply where the decision: </w:t>
            </w:r>
          </w:p>
          <w:p w14:paraId="70AE87B7" w14:textId="77777777" w:rsidR="000055BA" w:rsidRPr="000055BA" w:rsidRDefault="000055BA" w:rsidP="00793B00">
            <w:pPr>
              <w:ind w:right="284"/>
              <w:rPr>
                <w:rFonts w:ascii="Lato" w:hAnsi="Lato"/>
                <w:szCs w:val="20"/>
              </w:rPr>
            </w:pPr>
            <w:r w:rsidRPr="000055BA">
              <w:rPr>
                <w:rFonts w:ascii="Lato" w:hAnsi="Lato"/>
                <w:szCs w:val="20"/>
              </w:rPr>
              <w:t xml:space="preserve">1. is necessary for the entering into or the performance of a contract between the data subject and a data controller; </w:t>
            </w:r>
          </w:p>
          <w:p w14:paraId="72996553" w14:textId="77777777" w:rsidR="000055BA" w:rsidRPr="000055BA" w:rsidRDefault="000055BA" w:rsidP="00793B00">
            <w:pPr>
              <w:ind w:right="284"/>
              <w:rPr>
                <w:rFonts w:ascii="Lato" w:hAnsi="Lato"/>
                <w:szCs w:val="20"/>
              </w:rPr>
            </w:pPr>
            <w:r w:rsidRPr="000055BA">
              <w:rPr>
                <w:rFonts w:ascii="Lato" w:hAnsi="Lato"/>
                <w:szCs w:val="20"/>
              </w:rPr>
              <w:t xml:space="preserve">2. is authorised by law and suitable safeguards are in place to protect the data subject’s rights and freedoms and legitimate interests; or </w:t>
            </w:r>
          </w:p>
          <w:p w14:paraId="01D10616" w14:textId="77777777" w:rsidR="000055BA" w:rsidRPr="000055BA" w:rsidRDefault="000055BA" w:rsidP="00793B00">
            <w:pPr>
              <w:ind w:right="284"/>
              <w:rPr>
                <w:rFonts w:ascii="Lato" w:hAnsi="Lato"/>
                <w:szCs w:val="20"/>
              </w:rPr>
            </w:pPr>
            <w:r w:rsidRPr="000055BA">
              <w:rPr>
                <w:rFonts w:ascii="Lato" w:hAnsi="Lato"/>
                <w:szCs w:val="20"/>
              </w:rPr>
              <w:t xml:space="preserve">3. is based on the data subject’s explicit consent. </w:t>
            </w:r>
          </w:p>
          <w:p w14:paraId="4AE320E1" w14:textId="77777777" w:rsidR="000055BA" w:rsidRPr="000055BA" w:rsidRDefault="000055BA" w:rsidP="00793B00">
            <w:pPr>
              <w:ind w:right="284"/>
              <w:rPr>
                <w:rFonts w:ascii="Lato" w:hAnsi="Lato"/>
                <w:szCs w:val="20"/>
              </w:rPr>
            </w:pPr>
          </w:p>
          <w:p w14:paraId="06713C00" w14:textId="77777777" w:rsidR="000055BA" w:rsidRPr="000055BA" w:rsidRDefault="000055BA" w:rsidP="00793B00">
            <w:pPr>
              <w:ind w:right="284"/>
              <w:rPr>
                <w:rFonts w:ascii="Lato" w:hAnsi="Lato"/>
                <w:szCs w:val="20"/>
              </w:rPr>
            </w:pPr>
            <w:r w:rsidRPr="000055BA">
              <w:rPr>
                <w:rFonts w:ascii="Lato" w:hAnsi="Lato"/>
                <w:szCs w:val="20"/>
              </w:rPr>
              <w:t>Regarding (1) and (3), the data subject also has the right to obtain human intervention by the controller to express his or her views and to contest the decision.</w:t>
            </w:r>
          </w:p>
          <w:p w14:paraId="41177177" w14:textId="77777777" w:rsidR="000055BA" w:rsidRPr="000055BA" w:rsidRDefault="000055BA" w:rsidP="00793B00">
            <w:pPr>
              <w:ind w:right="284"/>
              <w:rPr>
                <w:rFonts w:ascii="Lato" w:hAnsi="Lato"/>
                <w:szCs w:val="20"/>
              </w:rPr>
            </w:pPr>
          </w:p>
          <w:p w14:paraId="3B68B52D" w14:textId="77777777" w:rsidR="000055BA" w:rsidRPr="000055BA" w:rsidRDefault="000055BA" w:rsidP="00793B00">
            <w:pPr>
              <w:ind w:right="284"/>
              <w:rPr>
                <w:rFonts w:ascii="Lato" w:hAnsi="Lato"/>
                <w:szCs w:val="20"/>
              </w:rPr>
            </w:pPr>
            <w:r w:rsidRPr="000055BA">
              <w:rPr>
                <w:rFonts w:ascii="Lato" w:hAnsi="Lato"/>
                <w:szCs w:val="20"/>
              </w:rPr>
              <w:t>Please note that it is not possible to process special categories of personal data by automated decision-making processes unless the individual has given their consent or a public interest applies and suitable measures to safeguard the individual’s rights and freedoms and legitimate interests are in place.</w:t>
            </w:r>
          </w:p>
          <w:p w14:paraId="3AFB5C1C" w14:textId="77777777" w:rsidR="000055BA" w:rsidRPr="000055BA" w:rsidRDefault="000055BA" w:rsidP="00793B00">
            <w:pPr>
              <w:ind w:right="284"/>
              <w:rPr>
                <w:rFonts w:ascii="Lato" w:hAnsi="Lato"/>
                <w:szCs w:val="20"/>
              </w:rPr>
            </w:pPr>
          </w:p>
          <w:p w14:paraId="58097311" w14:textId="77777777" w:rsidR="000055BA" w:rsidRPr="000055BA" w:rsidRDefault="000055BA" w:rsidP="00793B00">
            <w:pPr>
              <w:ind w:right="284"/>
              <w:rPr>
                <w:rFonts w:ascii="Lato" w:hAnsi="Lato"/>
                <w:szCs w:val="20"/>
              </w:rPr>
            </w:pPr>
            <w:r w:rsidRPr="000055BA">
              <w:rPr>
                <w:rFonts w:ascii="Lato" w:hAnsi="Lato"/>
                <w:szCs w:val="20"/>
              </w:rPr>
              <w:t>If you are not undertaking any automated decision-making processes, then delete this part.</w:t>
            </w:r>
          </w:p>
          <w:p w14:paraId="7D90254B" w14:textId="77777777" w:rsidR="000055BA" w:rsidRPr="000055BA" w:rsidRDefault="000055BA" w:rsidP="00793B00">
            <w:pPr>
              <w:ind w:right="284"/>
              <w:rPr>
                <w:rFonts w:ascii="Lato" w:hAnsi="Lato"/>
                <w:szCs w:val="20"/>
              </w:rPr>
            </w:pPr>
          </w:p>
        </w:tc>
      </w:tr>
      <w:tr w:rsidR="000055BA" w:rsidRPr="000055BA" w14:paraId="27D63519" w14:textId="77777777" w:rsidTr="00884D5C">
        <w:tc>
          <w:tcPr>
            <w:tcW w:w="988" w:type="dxa"/>
          </w:tcPr>
          <w:p w14:paraId="28EB3E5A" w14:textId="77777777" w:rsidR="000055BA" w:rsidRPr="000055BA" w:rsidRDefault="000055BA" w:rsidP="000055BA">
            <w:pPr>
              <w:pStyle w:val="ListParagraph"/>
              <w:numPr>
                <w:ilvl w:val="0"/>
                <w:numId w:val="34"/>
              </w:numPr>
              <w:ind w:right="284"/>
              <w:jc w:val="left"/>
            </w:pPr>
          </w:p>
        </w:tc>
        <w:tc>
          <w:tcPr>
            <w:tcW w:w="2409" w:type="dxa"/>
          </w:tcPr>
          <w:p w14:paraId="63C3D7AA" w14:textId="77777777" w:rsidR="000055BA" w:rsidRPr="000055BA" w:rsidRDefault="000055BA" w:rsidP="00793B00">
            <w:pPr>
              <w:ind w:right="284"/>
              <w:rPr>
                <w:rFonts w:ascii="Lato" w:hAnsi="Lato"/>
                <w:szCs w:val="20"/>
              </w:rPr>
            </w:pPr>
            <w:r w:rsidRPr="000055BA">
              <w:rPr>
                <w:rFonts w:ascii="Lato" w:hAnsi="Lato"/>
                <w:szCs w:val="20"/>
              </w:rPr>
              <w:t>Purposes of processing</w:t>
            </w:r>
          </w:p>
        </w:tc>
        <w:tc>
          <w:tcPr>
            <w:tcW w:w="5619" w:type="dxa"/>
          </w:tcPr>
          <w:p w14:paraId="6B356DD8" w14:textId="77777777" w:rsidR="000055BA" w:rsidRPr="000055BA" w:rsidRDefault="000055BA" w:rsidP="00793B00">
            <w:pPr>
              <w:ind w:right="284"/>
              <w:rPr>
                <w:rFonts w:ascii="Lato" w:hAnsi="Lato"/>
                <w:szCs w:val="20"/>
              </w:rPr>
            </w:pPr>
            <w:r w:rsidRPr="000055BA">
              <w:rPr>
                <w:rFonts w:ascii="Lato" w:hAnsi="Lato"/>
                <w:szCs w:val="20"/>
              </w:rPr>
              <w:t>If you intend to process the individual’s personal data or sensitive personal data for another purpose then list this here.</w:t>
            </w:r>
          </w:p>
          <w:p w14:paraId="7BC3F68B" w14:textId="77777777" w:rsidR="000055BA" w:rsidRPr="000055BA" w:rsidRDefault="000055BA" w:rsidP="00793B00">
            <w:pPr>
              <w:ind w:right="284"/>
              <w:rPr>
                <w:rFonts w:ascii="Lato" w:hAnsi="Lato"/>
                <w:szCs w:val="20"/>
              </w:rPr>
            </w:pPr>
          </w:p>
        </w:tc>
      </w:tr>
      <w:tr w:rsidR="000055BA" w:rsidRPr="000055BA" w14:paraId="19B1F0C9" w14:textId="77777777" w:rsidTr="00884D5C">
        <w:tc>
          <w:tcPr>
            <w:tcW w:w="988" w:type="dxa"/>
          </w:tcPr>
          <w:p w14:paraId="5FBFCAA2" w14:textId="77777777" w:rsidR="000055BA" w:rsidRPr="000055BA" w:rsidRDefault="000055BA" w:rsidP="000055BA">
            <w:pPr>
              <w:pStyle w:val="ListParagraph"/>
              <w:numPr>
                <w:ilvl w:val="0"/>
                <w:numId w:val="34"/>
              </w:numPr>
              <w:ind w:right="284"/>
              <w:jc w:val="left"/>
            </w:pPr>
          </w:p>
        </w:tc>
        <w:tc>
          <w:tcPr>
            <w:tcW w:w="2409" w:type="dxa"/>
          </w:tcPr>
          <w:p w14:paraId="5BCD9ECA" w14:textId="77777777" w:rsidR="000055BA" w:rsidRPr="000055BA" w:rsidRDefault="000055BA" w:rsidP="00793B00">
            <w:pPr>
              <w:ind w:right="284"/>
              <w:rPr>
                <w:rFonts w:ascii="Lato" w:hAnsi="Lato"/>
                <w:szCs w:val="20"/>
              </w:rPr>
            </w:pPr>
            <w:r w:rsidRPr="000055BA">
              <w:rPr>
                <w:rFonts w:ascii="Lato" w:hAnsi="Lato"/>
                <w:szCs w:val="20"/>
              </w:rPr>
              <w:t>Purposes of processing</w:t>
            </w:r>
          </w:p>
        </w:tc>
        <w:tc>
          <w:tcPr>
            <w:tcW w:w="5619" w:type="dxa"/>
          </w:tcPr>
          <w:p w14:paraId="7A518179" w14:textId="77777777" w:rsidR="000055BA" w:rsidRPr="000055BA" w:rsidRDefault="000055BA" w:rsidP="00793B00">
            <w:pPr>
              <w:ind w:right="284"/>
              <w:rPr>
                <w:rFonts w:ascii="Lato" w:hAnsi="Lato"/>
                <w:szCs w:val="20"/>
              </w:rPr>
            </w:pPr>
            <w:r w:rsidRPr="000055BA">
              <w:rPr>
                <w:rFonts w:ascii="Lato" w:hAnsi="Lato"/>
                <w:szCs w:val="20"/>
              </w:rPr>
              <w:t xml:space="preserve">If you are aware that specific clients or organisations, such as the REC, may audit your Company, and such auditing </w:t>
            </w:r>
            <w:r w:rsidRPr="000055BA">
              <w:rPr>
                <w:rFonts w:ascii="Lato" w:hAnsi="Lato"/>
                <w:szCs w:val="20"/>
              </w:rPr>
              <w:lastRenderedPageBreak/>
              <w:t xml:space="preserve">may require the processing of an individual’s personal data, then you may want to specify the organisation which will be processing the individual’s personal data and special categories of personal data here. </w:t>
            </w:r>
          </w:p>
          <w:p w14:paraId="23E0F3D9" w14:textId="77777777" w:rsidR="000055BA" w:rsidRPr="000055BA" w:rsidRDefault="000055BA" w:rsidP="00793B00">
            <w:pPr>
              <w:ind w:right="284"/>
              <w:rPr>
                <w:rFonts w:ascii="Lato" w:hAnsi="Lato"/>
                <w:szCs w:val="20"/>
              </w:rPr>
            </w:pPr>
          </w:p>
          <w:p w14:paraId="07F78D19" w14:textId="77777777" w:rsidR="000055BA" w:rsidRPr="000055BA" w:rsidRDefault="000055BA" w:rsidP="00793B00">
            <w:pPr>
              <w:ind w:right="284"/>
              <w:rPr>
                <w:rFonts w:ascii="Lato" w:hAnsi="Lato"/>
                <w:szCs w:val="20"/>
              </w:rPr>
            </w:pPr>
            <w:r w:rsidRPr="000055BA">
              <w:rPr>
                <w:rFonts w:ascii="Lato" w:hAnsi="Lato"/>
                <w:szCs w:val="20"/>
              </w:rPr>
              <w:t>As the UK GDPR will require consent to be specific and informed (see Note 1 above) you will need to state clearly who will be auditing the information.</w:t>
            </w:r>
          </w:p>
          <w:p w14:paraId="3EECB393" w14:textId="77777777" w:rsidR="000055BA" w:rsidRPr="000055BA" w:rsidRDefault="000055BA" w:rsidP="00793B00">
            <w:pPr>
              <w:ind w:right="284"/>
              <w:rPr>
                <w:rFonts w:ascii="Lato" w:hAnsi="Lato"/>
                <w:szCs w:val="20"/>
              </w:rPr>
            </w:pPr>
          </w:p>
        </w:tc>
      </w:tr>
      <w:tr w:rsidR="000055BA" w:rsidRPr="000055BA" w14:paraId="2351097B" w14:textId="77777777" w:rsidTr="00884D5C">
        <w:tc>
          <w:tcPr>
            <w:tcW w:w="988" w:type="dxa"/>
          </w:tcPr>
          <w:p w14:paraId="5A6F1573" w14:textId="77777777" w:rsidR="000055BA" w:rsidRPr="000055BA" w:rsidRDefault="000055BA" w:rsidP="000055BA">
            <w:pPr>
              <w:pStyle w:val="ListParagraph"/>
              <w:numPr>
                <w:ilvl w:val="0"/>
                <w:numId w:val="34"/>
              </w:numPr>
              <w:ind w:right="284"/>
              <w:jc w:val="left"/>
            </w:pPr>
          </w:p>
        </w:tc>
        <w:tc>
          <w:tcPr>
            <w:tcW w:w="2409" w:type="dxa"/>
          </w:tcPr>
          <w:p w14:paraId="7296D316" w14:textId="77777777" w:rsidR="000055BA" w:rsidRPr="000055BA" w:rsidRDefault="000055BA" w:rsidP="00793B00">
            <w:pPr>
              <w:ind w:right="284"/>
              <w:rPr>
                <w:rFonts w:ascii="Lato" w:hAnsi="Lato"/>
                <w:szCs w:val="20"/>
              </w:rPr>
            </w:pPr>
            <w:r w:rsidRPr="000055BA">
              <w:rPr>
                <w:rFonts w:ascii="Lato" w:hAnsi="Lato"/>
                <w:szCs w:val="20"/>
              </w:rPr>
              <w:t>Retention period for consent</w:t>
            </w:r>
          </w:p>
        </w:tc>
        <w:tc>
          <w:tcPr>
            <w:tcW w:w="5619" w:type="dxa"/>
          </w:tcPr>
          <w:p w14:paraId="1F2CEBEE" w14:textId="77777777" w:rsidR="000055BA" w:rsidRPr="000055BA" w:rsidRDefault="000055BA" w:rsidP="00793B00">
            <w:pPr>
              <w:ind w:right="284"/>
              <w:rPr>
                <w:rFonts w:ascii="Lato" w:hAnsi="Lato"/>
                <w:szCs w:val="20"/>
              </w:rPr>
            </w:pPr>
            <w:r w:rsidRPr="000055BA">
              <w:rPr>
                <w:rFonts w:ascii="Lato" w:hAnsi="Lato"/>
                <w:szCs w:val="20"/>
              </w:rPr>
              <w:t>To comply with your obligations under the UK GDPR with regards to transparency, you should set out clearly how long consent will last for.</w:t>
            </w:r>
          </w:p>
          <w:p w14:paraId="1963C388" w14:textId="77777777" w:rsidR="000055BA" w:rsidRPr="000055BA" w:rsidRDefault="000055BA" w:rsidP="00793B00">
            <w:pPr>
              <w:ind w:right="284"/>
              <w:rPr>
                <w:rFonts w:ascii="Lato" w:hAnsi="Lato"/>
                <w:szCs w:val="20"/>
              </w:rPr>
            </w:pPr>
          </w:p>
        </w:tc>
      </w:tr>
      <w:tr w:rsidR="000055BA" w:rsidRPr="000055BA" w14:paraId="2C8E1592" w14:textId="77777777" w:rsidTr="00884D5C">
        <w:tc>
          <w:tcPr>
            <w:tcW w:w="988" w:type="dxa"/>
          </w:tcPr>
          <w:p w14:paraId="76E57BB0" w14:textId="77777777" w:rsidR="000055BA" w:rsidRPr="000055BA" w:rsidRDefault="000055BA" w:rsidP="000055BA">
            <w:pPr>
              <w:pStyle w:val="ListParagraph"/>
              <w:numPr>
                <w:ilvl w:val="0"/>
                <w:numId w:val="34"/>
              </w:numPr>
              <w:ind w:right="284"/>
              <w:jc w:val="left"/>
            </w:pPr>
          </w:p>
        </w:tc>
        <w:tc>
          <w:tcPr>
            <w:tcW w:w="2409" w:type="dxa"/>
          </w:tcPr>
          <w:p w14:paraId="5CC6FE21" w14:textId="77777777" w:rsidR="000055BA" w:rsidRPr="000055BA" w:rsidRDefault="000055BA" w:rsidP="00793B00">
            <w:pPr>
              <w:ind w:right="284"/>
              <w:rPr>
                <w:rFonts w:ascii="Lato" w:hAnsi="Lato"/>
                <w:szCs w:val="20"/>
              </w:rPr>
            </w:pPr>
            <w:r w:rsidRPr="000055BA">
              <w:rPr>
                <w:rFonts w:ascii="Lato" w:hAnsi="Lato"/>
                <w:szCs w:val="20"/>
              </w:rPr>
              <w:t>Withdrawal of consent</w:t>
            </w:r>
          </w:p>
        </w:tc>
        <w:tc>
          <w:tcPr>
            <w:tcW w:w="5619" w:type="dxa"/>
          </w:tcPr>
          <w:p w14:paraId="5910271B" w14:textId="77777777" w:rsidR="000055BA" w:rsidRPr="000055BA" w:rsidRDefault="000055BA" w:rsidP="00793B00">
            <w:pPr>
              <w:ind w:right="284"/>
              <w:rPr>
                <w:rFonts w:ascii="Lato" w:hAnsi="Lato"/>
                <w:szCs w:val="20"/>
              </w:rPr>
            </w:pPr>
            <w:r w:rsidRPr="000055BA">
              <w:rPr>
                <w:rFonts w:ascii="Lato" w:hAnsi="Lato"/>
                <w:szCs w:val="20"/>
              </w:rPr>
              <w:t>You must tell data subjects that under the UK GDPR they have the right to withdraw their consent at any time (see Note 1 above).</w:t>
            </w:r>
          </w:p>
          <w:p w14:paraId="5BB91EF5" w14:textId="77777777" w:rsidR="000055BA" w:rsidRPr="000055BA" w:rsidRDefault="000055BA" w:rsidP="00793B00">
            <w:pPr>
              <w:ind w:right="284"/>
              <w:rPr>
                <w:rFonts w:ascii="Lato" w:hAnsi="Lato"/>
                <w:szCs w:val="20"/>
              </w:rPr>
            </w:pPr>
          </w:p>
          <w:p w14:paraId="67E58946" w14:textId="43B34F80" w:rsidR="000055BA" w:rsidRPr="000055BA" w:rsidRDefault="000055BA" w:rsidP="00793B00">
            <w:pPr>
              <w:ind w:right="284"/>
              <w:rPr>
                <w:rFonts w:ascii="Lato" w:hAnsi="Lato"/>
                <w:szCs w:val="20"/>
              </w:rPr>
            </w:pPr>
            <w:r w:rsidRPr="000055BA">
              <w:rPr>
                <w:rFonts w:ascii="Lato" w:hAnsi="Lato"/>
                <w:szCs w:val="20"/>
              </w:rPr>
              <w:t xml:space="preserve">See the </w:t>
            </w:r>
            <w:hyperlink r:id="rId12" w:history="1">
              <w:r w:rsidRPr="000055BA">
                <w:rPr>
                  <w:rStyle w:val="Hyperlink"/>
                  <w:rFonts w:ascii="Lato" w:hAnsi="Lato"/>
                  <w:szCs w:val="20"/>
                </w:rPr>
                <w:t>REC’s Model Document DP7 - Withdrawal of Consent Form</w:t>
              </w:r>
            </w:hyperlink>
            <w:r w:rsidRPr="000055BA">
              <w:rPr>
                <w:rFonts w:ascii="Lato" w:hAnsi="Lato"/>
                <w:szCs w:val="20"/>
              </w:rPr>
              <w:t xml:space="preserve"> for further information on how an individual may withdraw consent.</w:t>
            </w:r>
          </w:p>
          <w:p w14:paraId="6BD02E53" w14:textId="77777777" w:rsidR="000055BA" w:rsidRPr="000055BA" w:rsidRDefault="000055BA" w:rsidP="00793B00">
            <w:pPr>
              <w:ind w:right="284"/>
              <w:rPr>
                <w:rFonts w:ascii="Lato" w:hAnsi="Lato"/>
                <w:szCs w:val="20"/>
              </w:rPr>
            </w:pPr>
          </w:p>
        </w:tc>
      </w:tr>
    </w:tbl>
    <w:p w14:paraId="294188D8" w14:textId="77777777" w:rsidR="000055BA" w:rsidRPr="00F949D0" w:rsidRDefault="000055BA" w:rsidP="001D61B9">
      <w:pPr>
        <w:jc w:val="both"/>
        <w:rPr>
          <w:rFonts w:ascii="Lato" w:hAnsi="Lato" w:cs="Arial"/>
          <w:sz w:val="20"/>
          <w:szCs w:val="20"/>
        </w:rPr>
      </w:pPr>
    </w:p>
    <w:sectPr w:rsidR="000055BA" w:rsidRPr="00F949D0" w:rsidSect="00FA5F34">
      <w:footerReference w:type="default" r:id="rId13"/>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EE1F" w14:textId="77777777" w:rsidR="00C46AA9" w:rsidRDefault="00C46AA9" w:rsidP="008F24B5">
      <w:pPr>
        <w:spacing w:after="0" w:line="240" w:lineRule="auto"/>
      </w:pPr>
      <w:r>
        <w:separator/>
      </w:r>
    </w:p>
  </w:endnote>
  <w:endnote w:type="continuationSeparator" w:id="0">
    <w:p w14:paraId="33473091" w14:textId="77777777" w:rsidR="00C46AA9" w:rsidRDefault="00C46AA9" w:rsidP="008F24B5">
      <w:pPr>
        <w:spacing w:after="0" w:line="240" w:lineRule="auto"/>
      </w:pPr>
      <w:r>
        <w:continuationSeparator/>
      </w:r>
    </w:p>
  </w:endnote>
  <w:endnote w:type="continuationNotice" w:id="1">
    <w:p w14:paraId="36653703" w14:textId="77777777" w:rsidR="00C46AA9" w:rsidRDefault="00C46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panose1 w:val="00000000000000000000"/>
    <w:charset w:val="00"/>
    <w:family w:val="modern"/>
    <w:notTrueType/>
    <w:pitch w:val="variable"/>
    <w:sig w:usb0="A00000AF"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MRCMode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688560051"/>
      <w:docPartObj>
        <w:docPartGallery w:val="Page Numbers (Bottom of Page)"/>
        <w:docPartUnique/>
      </w:docPartObj>
    </w:sdtPr>
    <w:sdtEndPr>
      <w:rPr>
        <w:noProof/>
      </w:rPr>
    </w:sdtEndPr>
    <w:sdtContent>
      <w:p w14:paraId="459F2EAB" w14:textId="3C55600F" w:rsidR="00AA0442" w:rsidRPr="00AA0442" w:rsidRDefault="00AA0442">
        <w:pPr>
          <w:pStyle w:val="Footer"/>
          <w:jc w:val="right"/>
          <w:rPr>
            <w:rFonts w:ascii="Lato" w:hAnsi="Lato"/>
          </w:rPr>
        </w:pPr>
        <w:r w:rsidRPr="00AA0442">
          <w:rPr>
            <w:rFonts w:ascii="Lato" w:hAnsi="Lato"/>
          </w:rPr>
          <w:fldChar w:fldCharType="begin"/>
        </w:r>
        <w:r w:rsidRPr="00AA0442">
          <w:rPr>
            <w:rFonts w:ascii="Lato" w:hAnsi="Lato"/>
          </w:rPr>
          <w:instrText xml:space="preserve"> PAGE   \* MERGEFORMAT </w:instrText>
        </w:r>
        <w:r w:rsidRPr="00AA0442">
          <w:rPr>
            <w:rFonts w:ascii="Lato" w:hAnsi="Lato"/>
          </w:rPr>
          <w:fldChar w:fldCharType="separate"/>
        </w:r>
        <w:r w:rsidRPr="00AA0442">
          <w:rPr>
            <w:rFonts w:ascii="Lato" w:hAnsi="Lato"/>
            <w:noProof/>
          </w:rPr>
          <w:t>2</w:t>
        </w:r>
        <w:r w:rsidRPr="00AA0442">
          <w:rPr>
            <w:rFonts w:ascii="Lato" w:hAnsi="Lato"/>
            <w:noProof/>
          </w:rPr>
          <w:fldChar w:fldCharType="end"/>
        </w:r>
      </w:p>
    </w:sdtContent>
  </w:sdt>
  <w:p w14:paraId="4B028874" w14:textId="77777777" w:rsidR="006A65D9" w:rsidRPr="00AA0442" w:rsidRDefault="006A65D9">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8C5A" w14:textId="77777777" w:rsidR="00C46AA9" w:rsidRDefault="00C46AA9" w:rsidP="008F24B5">
      <w:pPr>
        <w:spacing w:after="0" w:line="240" w:lineRule="auto"/>
      </w:pPr>
      <w:r>
        <w:separator/>
      </w:r>
    </w:p>
  </w:footnote>
  <w:footnote w:type="continuationSeparator" w:id="0">
    <w:p w14:paraId="3086DFB1" w14:textId="77777777" w:rsidR="00C46AA9" w:rsidRDefault="00C46AA9" w:rsidP="008F24B5">
      <w:pPr>
        <w:spacing w:after="0" w:line="240" w:lineRule="auto"/>
      </w:pPr>
      <w:r>
        <w:continuationSeparator/>
      </w:r>
    </w:p>
  </w:footnote>
  <w:footnote w:type="continuationNotice" w:id="1">
    <w:p w14:paraId="5D6D5628" w14:textId="77777777" w:rsidR="00C46AA9" w:rsidRDefault="00C46A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o:bullet="t">
        <v:imagedata r:id="rId1" o:title="CorpBullett"/>
      </v:shape>
    </w:pict>
  </w:numPicBullet>
  <w:abstractNum w:abstractNumId="0" w15:restartNumberingAfterBreak="0">
    <w:nsid w:val="01CD3566"/>
    <w:multiLevelType w:val="hybridMultilevel"/>
    <w:tmpl w:val="A5BE1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047D7"/>
    <w:multiLevelType w:val="hybridMultilevel"/>
    <w:tmpl w:val="B14C5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54F8A"/>
    <w:multiLevelType w:val="hybridMultilevel"/>
    <w:tmpl w:val="4C6C5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7E726F"/>
    <w:multiLevelType w:val="hybridMultilevel"/>
    <w:tmpl w:val="ACE8C4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156E3E"/>
    <w:multiLevelType w:val="hybridMultilevel"/>
    <w:tmpl w:val="146A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3A2A8F"/>
    <w:multiLevelType w:val="hybridMultilevel"/>
    <w:tmpl w:val="B974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45E6"/>
    <w:multiLevelType w:val="hybridMultilevel"/>
    <w:tmpl w:val="AA0A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A48B2"/>
    <w:multiLevelType w:val="hybridMultilevel"/>
    <w:tmpl w:val="907A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C8735D"/>
    <w:multiLevelType w:val="hybridMultilevel"/>
    <w:tmpl w:val="1FDA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F0E18"/>
    <w:multiLevelType w:val="hybridMultilevel"/>
    <w:tmpl w:val="C10E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A024C"/>
    <w:multiLevelType w:val="hybridMultilevel"/>
    <w:tmpl w:val="92765C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B932FE"/>
    <w:multiLevelType w:val="hybridMultilevel"/>
    <w:tmpl w:val="19426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6D6A08"/>
    <w:multiLevelType w:val="hybridMultilevel"/>
    <w:tmpl w:val="FED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C6225"/>
    <w:multiLevelType w:val="hybridMultilevel"/>
    <w:tmpl w:val="526679A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8" w15:restartNumberingAfterBreak="0">
    <w:nsid w:val="5DD749E0"/>
    <w:multiLevelType w:val="hybridMultilevel"/>
    <w:tmpl w:val="90A4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4191A"/>
    <w:multiLevelType w:val="multilevel"/>
    <w:tmpl w:val="451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B35791"/>
    <w:multiLevelType w:val="multilevel"/>
    <w:tmpl w:val="A18E3A4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80A0F6B"/>
    <w:multiLevelType w:val="hybridMultilevel"/>
    <w:tmpl w:val="3D703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9A247C"/>
    <w:multiLevelType w:val="hybridMultilevel"/>
    <w:tmpl w:val="B7A0F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6B1023"/>
    <w:multiLevelType w:val="hybridMultilevel"/>
    <w:tmpl w:val="97147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CD779E"/>
    <w:multiLevelType w:val="hybridMultilevel"/>
    <w:tmpl w:val="5A64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B5D7D20"/>
    <w:multiLevelType w:val="hybridMultilevel"/>
    <w:tmpl w:val="0F7442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FD1944"/>
    <w:multiLevelType w:val="hybridMultilevel"/>
    <w:tmpl w:val="ECEE2C98"/>
    <w:lvl w:ilvl="0" w:tplc="39D044C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E9855F5"/>
    <w:multiLevelType w:val="hybridMultilevel"/>
    <w:tmpl w:val="A41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568231">
    <w:abstractNumId w:val="3"/>
  </w:num>
  <w:num w:numId="2" w16cid:durableId="294337377">
    <w:abstractNumId w:val="2"/>
  </w:num>
  <w:num w:numId="3" w16cid:durableId="1039017423">
    <w:abstractNumId w:val="24"/>
  </w:num>
  <w:num w:numId="4" w16cid:durableId="1452358235">
    <w:abstractNumId w:val="21"/>
  </w:num>
  <w:num w:numId="5" w16cid:durableId="2027905879">
    <w:abstractNumId w:val="10"/>
  </w:num>
  <w:num w:numId="6" w16cid:durableId="1043678071">
    <w:abstractNumId w:val="15"/>
  </w:num>
  <w:num w:numId="7" w16cid:durableId="1785879038">
    <w:abstractNumId w:val="4"/>
  </w:num>
  <w:num w:numId="8" w16cid:durableId="611398119">
    <w:abstractNumId w:val="18"/>
  </w:num>
  <w:num w:numId="9" w16cid:durableId="1922712007">
    <w:abstractNumId w:val="27"/>
  </w:num>
  <w:num w:numId="10" w16cid:durableId="1720588306">
    <w:abstractNumId w:val="32"/>
  </w:num>
  <w:num w:numId="11" w16cid:durableId="388579903">
    <w:abstractNumId w:val="16"/>
  </w:num>
  <w:num w:numId="12" w16cid:durableId="2143649288">
    <w:abstractNumId w:val="23"/>
  </w:num>
  <w:num w:numId="13" w16cid:durableId="143739434">
    <w:abstractNumId w:val="36"/>
  </w:num>
  <w:num w:numId="14" w16cid:durableId="2107918416">
    <w:abstractNumId w:val="20"/>
  </w:num>
  <w:num w:numId="15" w16cid:durableId="1821144263">
    <w:abstractNumId w:val="22"/>
  </w:num>
  <w:num w:numId="16" w16cid:durableId="1158037365">
    <w:abstractNumId w:val="7"/>
  </w:num>
  <w:num w:numId="17" w16cid:durableId="534924154">
    <w:abstractNumId w:val="19"/>
  </w:num>
  <w:num w:numId="18" w16cid:durableId="1295333179">
    <w:abstractNumId w:val="14"/>
  </w:num>
  <w:num w:numId="19" w16cid:durableId="36663998">
    <w:abstractNumId w:val="13"/>
  </w:num>
  <w:num w:numId="20" w16cid:durableId="676232784">
    <w:abstractNumId w:val="29"/>
  </w:num>
  <w:num w:numId="21" w16cid:durableId="178855843">
    <w:abstractNumId w:val="30"/>
  </w:num>
  <w:num w:numId="22" w16cid:durableId="1190877035">
    <w:abstractNumId w:val="0"/>
  </w:num>
  <w:num w:numId="23" w16cid:durableId="501630362">
    <w:abstractNumId w:val="39"/>
  </w:num>
  <w:num w:numId="24" w16cid:durableId="1671056084">
    <w:abstractNumId w:val="12"/>
  </w:num>
  <w:num w:numId="25" w16cid:durableId="1596471830">
    <w:abstractNumId w:val="25"/>
  </w:num>
  <w:num w:numId="26" w16cid:durableId="397049810">
    <w:abstractNumId w:val="26"/>
  </w:num>
  <w:num w:numId="27" w16cid:durableId="1713842932">
    <w:abstractNumId w:val="1"/>
  </w:num>
  <w:num w:numId="28" w16cid:durableId="1399398524">
    <w:abstractNumId w:val="37"/>
  </w:num>
  <w:num w:numId="29" w16cid:durableId="726952984">
    <w:abstractNumId w:val="33"/>
  </w:num>
  <w:num w:numId="30" w16cid:durableId="1680113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605685">
    <w:abstractNumId w:val="8"/>
  </w:num>
  <w:num w:numId="32" w16cid:durableId="2024934774">
    <w:abstractNumId w:val="38"/>
  </w:num>
  <w:num w:numId="33" w16cid:durableId="1720089879">
    <w:abstractNumId w:val="5"/>
  </w:num>
  <w:num w:numId="34" w16cid:durableId="1410423218">
    <w:abstractNumId w:val="6"/>
  </w:num>
  <w:num w:numId="35" w16cid:durableId="1485775309">
    <w:abstractNumId w:val="9"/>
  </w:num>
  <w:num w:numId="36" w16cid:durableId="1601177767">
    <w:abstractNumId w:val="17"/>
  </w:num>
  <w:num w:numId="37" w16cid:durableId="476413715">
    <w:abstractNumId w:val="11"/>
  </w:num>
  <w:num w:numId="38" w16cid:durableId="1459445164">
    <w:abstractNumId w:val="34"/>
  </w:num>
  <w:num w:numId="39" w16cid:durableId="1930382089">
    <w:abstractNumId w:val="28"/>
  </w:num>
  <w:num w:numId="40" w16cid:durableId="1580023251">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0"/>
    <w:rsid w:val="00003396"/>
    <w:rsid w:val="000055BA"/>
    <w:rsid w:val="00024E05"/>
    <w:rsid w:val="00037C84"/>
    <w:rsid w:val="00040416"/>
    <w:rsid w:val="00062B90"/>
    <w:rsid w:val="00066EF4"/>
    <w:rsid w:val="00080205"/>
    <w:rsid w:val="000834C5"/>
    <w:rsid w:val="000853AE"/>
    <w:rsid w:val="00090015"/>
    <w:rsid w:val="00097872"/>
    <w:rsid w:val="00097FA1"/>
    <w:rsid w:val="000A48FE"/>
    <w:rsid w:val="000B68C5"/>
    <w:rsid w:val="000D2174"/>
    <w:rsid w:val="000F5CFE"/>
    <w:rsid w:val="00100440"/>
    <w:rsid w:val="0010556D"/>
    <w:rsid w:val="00123B41"/>
    <w:rsid w:val="0013768F"/>
    <w:rsid w:val="001410F9"/>
    <w:rsid w:val="001543E2"/>
    <w:rsid w:val="00187B07"/>
    <w:rsid w:val="001B5346"/>
    <w:rsid w:val="001D30C2"/>
    <w:rsid w:val="001D61B9"/>
    <w:rsid w:val="001E236B"/>
    <w:rsid w:val="001E42AD"/>
    <w:rsid w:val="001F13D6"/>
    <w:rsid w:val="001F409D"/>
    <w:rsid w:val="001F7B21"/>
    <w:rsid w:val="00213EE0"/>
    <w:rsid w:val="002148AA"/>
    <w:rsid w:val="002241C5"/>
    <w:rsid w:val="002277C1"/>
    <w:rsid w:val="00244BA9"/>
    <w:rsid w:val="00244E27"/>
    <w:rsid w:val="002A266A"/>
    <w:rsid w:val="002C4145"/>
    <w:rsid w:val="002D03D4"/>
    <w:rsid w:val="002E2869"/>
    <w:rsid w:val="002F266D"/>
    <w:rsid w:val="002F4D32"/>
    <w:rsid w:val="00330C41"/>
    <w:rsid w:val="003365DC"/>
    <w:rsid w:val="00344EF9"/>
    <w:rsid w:val="0035652B"/>
    <w:rsid w:val="003957C3"/>
    <w:rsid w:val="003E53AC"/>
    <w:rsid w:val="00404605"/>
    <w:rsid w:val="0041205F"/>
    <w:rsid w:val="0043304A"/>
    <w:rsid w:val="00446F1A"/>
    <w:rsid w:val="004758B3"/>
    <w:rsid w:val="004937EC"/>
    <w:rsid w:val="004A3559"/>
    <w:rsid w:val="004C7733"/>
    <w:rsid w:val="004F6CCF"/>
    <w:rsid w:val="00515BF8"/>
    <w:rsid w:val="005229D9"/>
    <w:rsid w:val="00527771"/>
    <w:rsid w:val="005458EC"/>
    <w:rsid w:val="005919D0"/>
    <w:rsid w:val="005B1681"/>
    <w:rsid w:val="005B740A"/>
    <w:rsid w:val="005C4F8D"/>
    <w:rsid w:val="005D66A6"/>
    <w:rsid w:val="005E08B2"/>
    <w:rsid w:val="00656FAF"/>
    <w:rsid w:val="00657F3B"/>
    <w:rsid w:val="006624D8"/>
    <w:rsid w:val="0067755B"/>
    <w:rsid w:val="00693989"/>
    <w:rsid w:val="006A65D9"/>
    <w:rsid w:val="006A6A09"/>
    <w:rsid w:val="006E0610"/>
    <w:rsid w:val="006E1D13"/>
    <w:rsid w:val="006F0216"/>
    <w:rsid w:val="00732D6D"/>
    <w:rsid w:val="00750A20"/>
    <w:rsid w:val="00785ADD"/>
    <w:rsid w:val="00795E2D"/>
    <w:rsid w:val="007C1F2B"/>
    <w:rsid w:val="007C35D1"/>
    <w:rsid w:val="007C48D9"/>
    <w:rsid w:val="007E0614"/>
    <w:rsid w:val="007E6F16"/>
    <w:rsid w:val="008156A6"/>
    <w:rsid w:val="00826563"/>
    <w:rsid w:val="008304BE"/>
    <w:rsid w:val="0087217A"/>
    <w:rsid w:val="008750FA"/>
    <w:rsid w:val="00884D5C"/>
    <w:rsid w:val="00891CDE"/>
    <w:rsid w:val="0089658B"/>
    <w:rsid w:val="008D1152"/>
    <w:rsid w:val="008D638B"/>
    <w:rsid w:val="008F24B5"/>
    <w:rsid w:val="0090326F"/>
    <w:rsid w:val="0090390F"/>
    <w:rsid w:val="00917EEF"/>
    <w:rsid w:val="00935837"/>
    <w:rsid w:val="009379CE"/>
    <w:rsid w:val="00941C3D"/>
    <w:rsid w:val="00942BF4"/>
    <w:rsid w:val="00960976"/>
    <w:rsid w:val="00976DEA"/>
    <w:rsid w:val="009B7D65"/>
    <w:rsid w:val="009C1738"/>
    <w:rsid w:val="009D1633"/>
    <w:rsid w:val="009F7300"/>
    <w:rsid w:val="00A155AF"/>
    <w:rsid w:val="00A513C0"/>
    <w:rsid w:val="00A64F7E"/>
    <w:rsid w:val="00A82675"/>
    <w:rsid w:val="00A85547"/>
    <w:rsid w:val="00A967B6"/>
    <w:rsid w:val="00AA0442"/>
    <w:rsid w:val="00AC4C90"/>
    <w:rsid w:val="00B021E4"/>
    <w:rsid w:val="00B4331A"/>
    <w:rsid w:val="00B5357E"/>
    <w:rsid w:val="00B6493F"/>
    <w:rsid w:val="00B85992"/>
    <w:rsid w:val="00B93A23"/>
    <w:rsid w:val="00BA060D"/>
    <w:rsid w:val="00BA6DB8"/>
    <w:rsid w:val="00BB3F64"/>
    <w:rsid w:val="00BD137B"/>
    <w:rsid w:val="00BD1C9A"/>
    <w:rsid w:val="00BD2F9B"/>
    <w:rsid w:val="00BE61C7"/>
    <w:rsid w:val="00C006F4"/>
    <w:rsid w:val="00C0404E"/>
    <w:rsid w:val="00C05412"/>
    <w:rsid w:val="00C12BA8"/>
    <w:rsid w:val="00C1431E"/>
    <w:rsid w:val="00C14FF2"/>
    <w:rsid w:val="00C30E4D"/>
    <w:rsid w:val="00C3439D"/>
    <w:rsid w:val="00C3662A"/>
    <w:rsid w:val="00C46AA9"/>
    <w:rsid w:val="00C4736F"/>
    <w:rsid w:val="00C66570"/>
    <w:rsid w:val="00C70084"/>
    <w:rsid w:val="00C708FF"/>
    <w:rsid w:val="00C71B51"/>
    <w:rsid w:val="00C71FB4"/>
    <w:rsid w:val="00C7415F"/>
    <w:rsid w:val="00C74A96"/>
    <w:rsid w:val="00C755A2"/>
    <w:rsid w:val="00C776C6"/>
    <w:rsid w:val="00C87816"/>
    <w:rsid w:val="00CA60CA"/>
    <w:rsid w:val="00CB5FBA"/>
    <w:rsid w:val="00CC1252"/>
    <w:rsid w:val="00CC3C9F"/>
    <w:rsid w:val="00CD31E3"/>
    <w:rsid w:val="00CE0543"/>
    <w:rsid w:val="00CF1281"/>
    <w:rsid w:val="00D06AB7"/>
    <w:rsid w:val="00D11260"/>
    <w:rsid w:val="00D11D05"/>
    <w:rsid w:val="00D20197"/>
    <w:rsid w:val="00D212D9"/>
    <w:rsid w:val="00D31E31"/>
    <w:rsid w:val="00D53A18"/>
    <w:rsid w:val="00D717A0"/>
    <w:rsid w:val="00D802DD"/>
    <w:rsid w:val="00D83719"/>
    <w:rsid w:val="00D84CDA"/>
    <w:rsid w:val="00DC6E55"/>
    <w:rsid w:val="00DD4881"/>
    <w:rsid w:val="00DD577A"/>
    <w:rsid w:val="00DE5A4E"/>
    <w:rsid w:val="00E007B1"/>
    <w:rsid w:val="00E12F34"/>
    <w:rsid w:val="00E351DD"/>
    <w:rsid w:val="00E35D01"/>
    <w:rsid w:val="00E4294B"/>
    <w:rsid w:val="00E42B91"/>
    <w:rsid w:val="00E55FF1"/>
    <w:rsid w:val="00E66CAC"/>
    <w:rsid w:val="00E67A29"/>
    <w:rsid w:val="00E8410F"/>
    <w:rsid w:val="00EC173A"/>
    <w:rsid w:val="00EC28E8"/>
    <w:rsid w:val="00F1070F"/>
    <w:rsid w:val="00F1799C"/>
    <w:rsid w:val="00F2475C"/>
    <w:rsid w:val="00F751F2"/>
    <w:rsid w:val="00F949D0"/>
    <w:rsid w:val="00FA5F34"/>
    <w:rsid w:val="00FA71EA"/>
    <w:rsid w:val="00FD3564"/>
    <w:rsid w:val="00FE00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BABE"/>
  <w15:chartTrackingRefBased/>
  <w15:docId w15:val="{AECF0392-436F-4D3A-BCF7-F3A1D6CE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A09"/>
    <w:rPr>
      <w:color w:val="605E5C"/>
      <w:shd w:val="clear" w:color="auto" w:fill="E1DFDD"/>
    </w:rPr>
  </w:style>
  <w:style w:type="paragraph" w:styleId="BodyTextIndent">
    <w:name w:val="Body Text Indent"/>
    <w:basedOn w:val="Normal"/>
    <w:link w:val="BodyTextIndentChar"/>
    <w:uiPriority w:val="99"/>
    <w:semiHidden/>
    <w:unhideWhenUsed/>
    <w:rsid w:val="00F1799C"/>
    <w:pPr>
      <w:spacing w:after="120"/>
      <w:ind w:left="360"/>
    </w:pPr>
  </w:style>
  <w:style w:type="character" w:customStyle="1" w:styleId="BodyTextIndentChar">
    <w:name w:val="Body Text Indent Char"/>
    <w:basedOn w:val="DefaultParagraphFont"/>
    <w:link w:val="BodyTextIndent"/>
    <w:uiPriority w:val="99"/>
    <w:semiHidden/>
    <w:rsid w:val="00F1799C"/>
  </w:style>
  <w:style w:type="paragraph" w:styleId="BodyText2">
    <w:name w:val="Body Text 2"/>
    <w:basedOn w:val="Normal"/>
    <w:link w:val="BodyText2Char"/>
    <w:unhideWhenUsed/>
    <w:rsid w:val="00F1799C"/>
    <w:pPr>
      <w:spacing w:after="120" w:line="480" w:lineRule="auto"/>
    </w:pPr>
  </w:style>
  <w:style w:type="character" w:customStyle="1" w:styleId="BodyText2Char">
    <w:name w:val="Body Text 2 Char"/>
    <w:basedOn w:val="DefaultParagraphFont"/>
    <w:link w:val="BodyText2"/>
    <w:uiPriority w:val="99"/>
    <w:semiHidden/>
    <w:rsid w:val="00F1799C"/>
  </w:style>
  <w:style w:type="table" w:customStyle="1" w:styleId="TableGrid1">
    <w:name w:val="Table Grid1"/>
    <w:basedOn w:val="TableNormal"/>
    <w:next w:val="TableGrid"/>
    <w:rsid w:val="0009001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CTable">
    <w:name w:val="REC Table"/>
    <w:basedOn w:val="TableList1"/>
    <w:rsid w:val="002E2869"/>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E2869"/>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2E2869"/>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2E2869"/>
    <w:rPr>
      <w:rFonts w:ascii="Segoe UI" w:eastAsia="Times New Roman" w:hAnsi="Segoe UI" w:cs="Segoe UI"/>
      <w:sz w:val="18"/>
      <w:szCs w:val="18"/>
      <w:lang w:eastAsia="en-GB"/>
    </w:rPr>
  </w:style>
  <w:style w:type="paragraph" w:customStyle="1" w:styleId="Pa8">
    <w:name w:val="Pa8"/>
    <w:basedOn w:val="Normal"/>
    <w:next w:val="Normal"/>
    <w:rsid w:val="002E2869"/>
    <w:pPr>
      <w:autoSpaceDE w:val="0"/>
      <w:autoSpaceDN w:val="0"/>
      <w:adjustRightInd w:val="0"/>
      <w:spacing w:before="100" w:beforeAutospacing="1" w:after="100" w:afterAutospacing="1" w:line="181" w:lineRule="atLeast"/>
      <w:jc w:val="both"/>
    </w:pPr>
    <w:rPr>
      <w:rFonts w:ascii="Bliss 2 Light" w:eastAsia="Times New Roman" w:hAnsi="Bliss 2 Light" w:cs="Times New Roman"/>
      <w:lang w:eastAsia="en-GB"/>
    </w:rPr>
  </w:style>
  <w:style w:type="character" w:styleId="Strong">
    <w:name w:val="Strong"/>
    <w:qFormat/>
    <w:rsid w:val="002E2869"/>
    <w:rPr>
      <w:rFonts w:cs="Arial"/>
      <w:b/>
    </w:rPr>
  </w:style>
  <w:style w:type="character" w:styleId="CommentReference">
    <w:name w:val="annotation reference"/>
    <w:basedOn w:val="DefaultParagraphFont"/>
    <w:semiHidden/>
    <w:unhideWhenUsed/>
    <w:rsid w:val="002E2869"/>
    <w:rPr>
      <w:sz w:val="16"/>
      <w:szCs w:val="16"/>
    </w:rPr>
  </w:style>
  <w:style w:type="paragraph" w:styleId="CommentText">
    <w:name w:val="annotation text"/>
    <w:basedOn w:val="Normal"/>
    <w:link w:val="CommentTextChar"/>
    <w:unhideWhenUsed/>
    <w:rsid w:val="002E2869"/>
    <w:pPr>
      <w:spacing w:line="240" w:lineRule="auto"/>
    </w:pPr>
    <w:rPr>
      <w:sz w:val="20"/>
      <w:szCs w:val="20"/>
    </w:rPr>
  </w:style>
  <w:style w:type="character" w:customStyle="1" w:styleId="CommentTextChar">
    <w:name w:val="Comment Text Char"/>
    <w:basedOn w:val="DefaultParagraphFont"/>
    <w:link w:val="CommentText"/>
    <w:uiPriority w:val="99"/>
    <w:rsid w:val="002E2869"/>
    <w:rPr>
      <w:sz w:val="20"/>
      <w:szCs w:val="20"/>
    </w:rPr>
  </w:style>
  <w:style w:type="character" w:styleId="PageNumber">
    <w:name w:val="page number"/>
    <w:basedOn w:val="DefaultParagraphFont"/>
    <w:rsid w:val="002E2869"/>
  </w:style>
  <w:style w:type="paragraph" w:styleId="Revision">
    <w:name w:val="Revision"/>
    <w:hidden/>
    <w:uiPriority w:val="99"/>
    <w:semiHidden/>
    <w:rsid w:val="002E2869"/>
    <w:pPr>
      <w:spacing w:after="0" w:line="240" w:lineRule="auto"/>
    </w:pPr>
    <w:rPr>
      <w:rFonts w:eastAsia="Times New Roman" w:cs="Times New Roman"/>
      <w:sz w:val="20"/>
      <w:szCs w:val="24"/>
      <w:lang w:eastAsia="en-GB"/>
    </w:rPr>
  </w:style>
  <w:style w:type="character" w:styleId="FollowedHyperlink">
    <w:name w:val="FollowedHyperlink"/>
    <w:basedOn w:val="DefaultParagraphFont"/>
    <w:semiHidden/>
    <w:unhideWhenUsed/>
    <w:rsid w:val="002E2869"/>
    <w:rPr>
      <w:color w:val="954F72" w:themeColor="followedHyperlink"/>
      <w:u w:val="single"/>
    </w:rPr>
  </w:style>
  <w:style w:type="paragraph" w:styleId="CommentSubject">
    <w:name w:val="annotation subject"/>
    <w:basedOn w:val="CommentText"/>
    <w:next w:val="CommentText"/>
    <w:link w:val="CommentSubjectChar"/>
    <w:semiHidden/>
    <w:unhideWhenUsed/>
    <w:rsid w:val="002E2869"/>
    <w:pPr>
      <w:spacing w:after="0"/>
    </w:pPr>
    <w:rPr>
      <w:rFonts w:eastAsia="Times New Roman" w:cs="Times New Roman"/>
      <w:b/>
      <w:bCs/>
      <w:lang w:eastAsia="en-GB"/>
    </w:rPr>
  </w:style>
  <w:style w:type="character" w:customStyle="1" w:styleId="CommentSubjectChar">
    <w:name w:val="Comment Subject Char"/>
    <w:basedOn w:val="CommentTextChar"/>
    <w:link w:val="CommentSubject"/>
    <w:semiHidden/>
    <w:rsid w:val="002E2869"/>
    <w:rPr>
      <w:rFonts w:eastAsia="Times New Roman" w:cs="Times New Roman"/>
      <w:b/>
      <w:bCs/>
      <w:sz w:val="20"/>
      <w:szCs w:val="20"/>
      <w:lang w:eastAsia="en-GB"/>
    </w:rPr>
  </w:style>
  <w:style w:type="numbering" w:customStyle="1" w:styleId="RECBullet">
    <w:name w:val="REC Bullet"/>
    <w:basedOn w:val="NoList"/>
    <w:rsid w:val="0090326F"/>
    <w:pPr>
      <w:numPr>
        <w:numId w:val="4"/>
      </w:numPr>
    </w:pPr>
  </w:style>
  <w:style w:type="paragraph" w:styleId="BodyTextIndent2">
    <w:name w:val="Body Text Indent 2"/>
    <w:basedOn w:val="Normal"/>
    <w:link w:val="BodyTextIndent2Char"/>
    <w:rsid w:val="0090326F"/>
    <w:pPr>
      <w:widowControl w:val="0"/>
      <w:autoSpaceDE w:val="0"/>
      <w:autoSpaceDN w:val="0"/>
      <w:adjustRightInd w:val="0"/>
      <w:spacing w:after="0" w:line="235" w:lineRule="exact"/>
      <w:ind w:left="1440" w:hanging="720"/>
      <w:jc w:val="both"/>
    </w:pPr>
    <w:rPr>
      <w:rFonts w:ascii="Arial Narrow" w:eastAsia="Times New Roman" w:hAnsi="Arial Narrow" w:cs="Arial Narrow"/>
      <w:i/>
      <w:iCs/>
      <w:sz w:val="24"/>
      <w:szCs w:val="24"/>
      <w:lang w:val="en-US"/>
    </w:rPr>
  </w:style>
  <w:style w:type="character" w:customStyle="1" w:styleId="BodyTextIndent2Char">
    <w:name w:val="Body Text Indent 2 Char"/>
    <w:basedOn w:val="DefaultParagraphFont"/>
    <w:link w:val="BodyTextIndent2"/>
    <w:rsid w:val="0090326F"/>
    <w:rPr>
      <w:rFonts w:ascii="Arial Narrow" w:eastAsia="Times New Roman" w:hAnsi="Arial Narrow" w:cs="Arial Narrow"/>
      <w:i/>
      <w:iCs/>
      <w:sz w:val="24"/>
      <w:szCs w:val="24"/>
      <w:lang w:val="en-US"/>
    </w:rPr>
  </w:style>
  <w:style w:type="paragraph" w:styleId="BodyTextIndent3">
    <w:name w:val="Body Text Indent 3"/>
    <w:basedOn w:val="Normal"/>
    <w:link w:val="BodyTextIndent3Char"/>
    <w:rsid w:val="0090326F"/>
    <w:pPr>
      <w:widowControl w:val="0"/>
      <w:autoSpaceDE w:val="0"/>
      <w:autoSpaceDN w:val="0"/>
      <w:adjustRightInd w:val="0"/>
      <w:spacing w:after="0" w:line="268" w:lineRule="exact"/>
      <w:ind w:left="1701" w:hanging="567"/>
      <w:jc w:val="both"/>
    </w:pPr>
    <w:rPr>
      <w:rFonts w:ascii="Arial Narrow" w:eastAsia="Times New Roman" w:hAnsi="Arial Narrow" w:cs="Arial Narrow"/>
      <w:sz w:val="24"/>
      <w:szCs w:val="24"/>
      <w:lang w:val="en-US"/>
    </w:rPr>
  </w:style>
  <w:style w:type="character" w:customStyle="1" w:styleId="BodyTextIndent3Char">
    <w:name w:val="Body Text Indent 3 Char"/>
    <w:basedOn w:val="DefaultParagraphFont"/>
    <w:link w:val="BodyTextIndent3"/>
    <w:rsid w:val="0090326F"/>
    <w:rPr>
      <w:rFonts w:ascii="Arial Narrow" w:eastAsia="Times New Roman" w:hAnsi="Arial Narrow" w:cs="Arial Narrow"/>
      <w:sz w:val="24"/>
      <w:szCs w:val="24"/>
      <w:lang w:val="en-US"/>
    </w:rPr>
  </w:style>
  <w:style w:type="character" w:customStyle="1" w:styleId="legdslegrhslegp3text">
    <w:name w:val="legds legrhs legp3text"/>
    <w:basedOn w:val="DefaultParagraphFont"/>
    <w:rsid w:val="0090326F"/>
  </w:style>
  <w:style w:type="paragraph" w:customStyle="1" w:styleId="CharCharCharCharCharCharChar">
    <w:name w:val="Char Char Char Char Char Char Char"/>
    <w:basedOn w:val="Normal"/>
    <w:next w:val="BodyText2"/>
    <w:rsid w:val="0090326F"/>
    <w:pPr>
      <w:spacing w:after="0" w:line="240" w:lineRule="auto"/>
    </w:pPr>
    <w:rPr>
      <w:rFonts w:ascii="Arial" w:eastAsia="SimSun" w:hAnsi="Arial" w:cs="Times New Roman"/>
      <w:sz w:val="20"/>
      <w:szCs w:val="20"/>
      <w:lang w:eastAsia="zh-CN"/>
    </w:rPr>
  </w:style>
  <w:style w:type="paragraph" w:customStyle="1" w:styleId="Pa7">
    <w:name w:val="Pa7"/>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Pa4">
    <w:name w:val="Pa4"/>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legp1paratext1">
    <w:name w:val="legp1paratext1"/>
    <w:basedOn w:val="Normal"/>
    <w:rsid w:val="0090326F"/>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90326F"/>
  </w:style>
  <w:style w:type="paragraph" w:styleId="EndnoteText">
    <w:name w:val="endnote text"/>
    <w:basedOn w:val="Normal"/>
    <w:link w:val="EndnoteTextChar"/>
    <w:semiHidden/>
    <w:rsid w:val="0090326F"/>
    <w:pPr>
      <w:spacing w:before="120" w:after="120" w:line="36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0326F"/>
    <w:rPr>
      <w:rFonts w:ascii="Times New Roman" w:eastAsia="Times New Roman" w:hAnsi="Times New Roman" w:cs="Times New Roman"/>
      <w:sz w:val="20"/>
      <w:szCs w:val="20"/>
    </w:rPr>
  </w:style>
  <w:style w:type="character" w:customStyle="1" w:styleId="imageright">
    <w:name w:val="imageright"/>
    <w:basedOn w:val="DefaultParagraphFont"/>
    <w:rsid w:val="0090326F"/>
  </w:style>
  <w:style w:type="numbering" w:customStyle="1" w:styleId="Style1">
    <w:name w:val="Style1"/>
    <w:rsid w:val="0090326F"/>
    <w:pPr>
      <w:numPr>
        <w:numId w:val="5"/>
      </w:numPr>
    </w:pPr>
  </w:style>
  <w:style w:type="paragraph" w:customStyle="1" w:styleId="ANGELA">
    <w:name w:val="ANGELA"/>
    <w:basedOn w:val="Normal"/>
    <w:rsid w:val="0090326F"/>
    <w:pPr>
      <w:spacing w:after="0" w:line="240" w:lineRule="auto"/>
      <w:jc w:val="both"/>
    </w:pPr>
    <w:rPr>
      <w:rFonts w:ascii="Times New Roman" w:eastAsia="Times New Roman" w:hAnsi="Times New Roman" w:cs="Times New Roman"/>
      <w:b/>
      <w:caps/>
      <w:sz w:val="24"/>
      <w:szCs w:val="20"/>
    </w:rPr>
  </w:style>
  <w:style w:type="paragraph" w:styleId="BodyText3">
    <w:name w:val="Body Text 3"/>
    <w:basedOn w:val="Normal"/>
    <w:link w:val="BodyText3Char"/>
    <w:rsid w:val="0090326F"/>
    <w:pPr>
      <w:numPr>
        <w:ilvl w:val="12"/>
      </w:num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90326F"/>
    <w:rPr>
      <w:rFonts w:ascii="Times New Roman" w:eastAsia="Times New Roman" w:hAnsi="Times New Roman" w:cs="Times New Roman"/>
      <w:sz w:val="24"/>
      <w:szCs w:val="20"/>
    </w:rPr>
  </w:style>
  <w:style w:type="paragraph" w:styleId="BlockText">
    <w:name w:val="Block Text"/>
    <w:basedOn w:val="Normal"/>
    <w:rsid w:val="0090326F"/>
    <w:pPr>
      <w:tabs>
        <w:tab w:val="left" w:pos="900"/>
      </w:tabs>
      <w:spacing w:after="0" w:line="240" w:lineRule="auto"/>
      <w:ind w:left="907" w:right="-282" w:hanging="907"/>
      <w:jc w:val="both"/>
    </w:pPr>
    <w:rPr>
      <w:rFonts w:ascii="Arial" w:eastAsia="Times New Roman" w:hAnsi="Arial" w:cs="Arial"/>
      <w:b/>
      <w:bCs/>
      <w:i/>
      <w:sz w:val="20"/>
      <w:szCs w:val="24"/>
    </w:rPr>
  </w:style>
  <w:style w:type="paragraph" w:customStyle="1" w:styleId="N2NumberCont">
    <w:name w:val="N2_NumberCont"/>
    <w:basedOn w:val="Normal"/>
    <w:rsid w:val="0090326F"/>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B3SubBullet">
    <w:name w:val="B3_SubBullet"/>
    <w:basedOn w:val="Normal"/>
    <w:rsid w:val="0090326F"/>
    <w:pPr>
      <w:tabs>
        <w:tab w:val="left" w:pos="567"/>
      </w:tabs>
      <w:spacing w:after="141" w:line="240" w:lineRule="auto"/>
      <w:ind w:left="567" w:hanging="284"/>
    </w:pPr>
    <w:rPr>
      <w:rFonts w:ascii="Arial" w:eastAsia="Times New Roman" w:hAnsi="Arial" w:cs="Times New Roman"/>
      <w:color w:val="000000"/>
      <w:sz w:val="18"/>
      <w:szCs w:val="20"/>
      <w:lang w:eastAsia="en-GB"/>
    </w:rPr>
  </w:style>
  <w:style w:type="paragraph" w:customStyle="1" w:styleId="MdRLevel1">
    <w:name w:val="MdR Level 1"/>
    <w:basedOn w:val="Normal"/>
    <w:rsid w:val="0090326F"/>
    <w:pPr>
      <w:numPr>
        <w:numId w:val="6"/>
      </w:numPr>
      <w:spacing w:after="240" w:line="360" w:lineRule="auto"/>
      <w:jc w:val="both"/>
      <w:outlineLvl w:val="0"/>
    </w:pPr>
    <w:rPr>
      <w:rFonts w:ascii="Times New Roman" w:eastAsia="Times New Roman" w:hAnsi="Times New Roman" w:cs="Times New Roman"/>
      <w:sz w:val="24"/>
      <w:szCs w:val="24"/>
    </w:rPr>
  </w:style>
  <w:style w:type="paragraph" w:customStyle="1" w:styleId="MdRLevel2">
    <w:name w:val="MdR Level 2"/>
    <w:basedOn w:val="Normal"/>
    <w:rsid w:val="0090326F"/>
    <w:pPr>
      <w:numPr>
        <w:ilvl w:val="1"/>
        <w:numId w:val="6"/>
      </w:numPr>
      <w:spacing w:after="240" w:line="360" w:lineRule="auto"/>
      <w:jc w:val="both"/>
      <w:outlineLvl w:val="1"/>
    </w:pPr>
    <w:rPr>
      <w:rFonts w:ascii="Times New Roman" w:eastAsia="Times New Roman" w:hAnsi="Times New Roman" w:cs="Times New Roman"/>
      <w:sz w:val="24"/>
      <w:szCs w:val="24"/>
    </w:rPr>
  </w:style>
  <w:style w:type="paragraph" w:customStyle="1" w:styleId="MdRLevel3">
    <w:name w:val="MdR Level 3"/>
    <w:basedOn w:val="Normal"/>
    <w:rsid w:val="0090326F"/>
    <w:pPr>
      <w:numPr>
        <w:ilvl w:val="2"/>
        <w:numId w:val="6"/>
      </w:numPr>
      <w:spacing w:after="240" w:line="360" w:lineRule="auto"/>
      <w:jc w:val="both"/>
      <w:outlineLvl w:val="2"/>
    </w:pPr>
    <w:rPr>
      <w:rFonts w:ascii="Times New Roman" w:eastAsia="Times New Roman" w:hAnsi="Times New Roman" w:cs="Times New Roman"/>
      <w:sz w:val="24"/>
      <w:szCs w:val="24"/>
    </w:rPr>
  </w:style>
  <w:style w:type="paragraph" w:customStyle="1" w:styleId="MdRLevel4">
    <w:name w:val="MdR Level 4"/>
    <w:basedOn w:val="Normal"/>
    <w:rsid w:val="0090326F"/>
    <w:pPr>
      <w:numPr>
        <w:ilvl w:val="3"/>
        <w:numId w:val="6"/>
      </w:numPr>
      <w:spacing w:after="240" w:line="360" w:lineRule="auto"/>
      <w:jc w:val="both"/>
      <w:outlineLvl w:val="3"/>
    </w:pPr>
    <w:rPr>
      <w:rFonts w:ascii="Times New Roman" w:eastAsia="Times New Roman" w:hAnsi="Times New Roman" w:cs="Times New Roman"/>
      <w:sz w:val="24"/>
      <w:szCs w:val="24"/>
    </w:rPr>
  </w:style>
  <w:style w:type="paragraph" w:customStyle="1" w:styleId="MdRLevel5">
    <w:name w:val="MdR Level 5"/>
    <w:basedOn w:val="Normal"/>
    <w:rsid w:val="0090326F"/>
    <w:pPr>
      <w:numPr>
        <w:ilvl w:val="4"/>
        <w:numId w:val="6"/>
      </w:numPr>
      <w:spacing w:after="240" w:line="360" w:lineRule="auto"/>
      <w:jc w:val="both"/>
      <w:outlineLvl w:val="4"/>
    </w:pPr>
    <w:rPr>
      <w:rFonts w:ascii="Times New Roman" w:eastAsia="Times New Roman" w:hAnsi="Times New Roman" w:cs="Times New Roman"/>
      <w:sz w:val="24"/>
      <w:szCs w:val="24"/>
    </w:rPr>
  </w:style>
  <w:style w:type="paragraph" w:styleId="NormalWeb">
    <w:name w:val="Normal (Web)"/>
    <w:basedOn w:val="Normal"/>
    <w:uiPriority w:val="99"/>
    <w:rsid w:val="00903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90326F"/>
    <w:pPr>
      <w:spacing w:after="0" w:line="240" w:lineRule="auto"/>
    </w:pPr>
    <w:rPr>
      <w:rFonts w:ascii="Times New Roman" w:eastAsia="Times New Roman" w:hAnsi="Times New Roman" w:cs="Times New Roman"/>
      <w:sz w:val="24"/>
      <w:szCs w:val="20"/>
    </w:rPr>
  </w:style>
  <w:style w:type="paragraph" w:customStyle="1" w:styleId="Level1Heading">
    <w:name w:val="Level 1 Heading"/>
    <w:basedOn w:val="BodyText"/>
    <w:next w:val="Normal"/>
    <w:rsid w:val="00FA5F34"/>
    <w:pPr>
      <w:keepNext/>
      <w:numPr>
        <w:numId w:val="9"/>
      </w:numPr>
      <w:spacing w:before="360" w:after="200" w:line="360" w:lineRule="auto"/>
      <w:outlineLvl w:val="0"/>
    </w:pPr>
    <w:rPr>
      <w:rFonts w:asciiTheme="minorHAnsi" w:hAnsiTheme="minorHAnsi"/>
      <w:b/>
      <w:sz w:val="22"/>
      <w14:ligatures w14:val="none"/>
    </w:rPr>
  </w:style>
  <w:style w:type="paragraph" w:customStyle="1" w:styleId="Level2Heading">
    <w:name w:val="Level 2 Heading"/>
    <w:basedOn w:val="BodyText"/>
    <w:next w:val="BodyText2"/>
    <w:rsid w:val="00FA5F34"/>
    <w:pPr>
      <w:keepNext/>
      <w:numPr>
        <w:ilvl w:val="1"/>
        <w:numId w:val="9"/>
      </w:numPr>
      <w:spacing w:before="360" w:after="200" w:line="360" w:lineRule="auto"/>
      <w:outlineLvl w:val="1"/>
    </w:pPr>
    <w:rPr>
      <w:rFonts w:asciiTheme="minorHAnsi" w:hAnsiTheme="minorHAnsi"/>
      <w:b/>
      <w:sz w:val="22"/>
      <w14:ligatures w14:val="none"/>
    </w:rPr>
  </w:style>
  <w:style w:type="paragraph" w:customStyle="1" w:styleId="Level3Number">
    <w:name w:val="Level 3 Number"/>
    <w:basedOn w:val="BodyText"/>
    <w:rsid w:val="00FA5F34"/>
    <w:pPr>
      <w:numPr>
        <w:ilvl w:val="2"/>
        <w:numId w:val="9"/>
      </w:numPr>
      <w:spacing w:before="360" w:after="200" w:line="360" w:lineRule="auto"/>
    </w:pPr>
    <w:rPr>
      <w:rFonts w:asciiTheme="minorHAnsi" w:hAnsiTheme="minorHAnsi"/>
      <w:sz w:val="22"/>
      <w14:ligatures w14:val="none"/>
    </w:rPr>
  </w:style>
  <w:style w:type="paragraph" w:customStyle="1" w:styleId="Level4Number">
    <w:name w:val="Level 4 Number"/>
    <w:basedOn w:val="BodyText"/>
    <w:rsid w:val="00FA5F34"/>
    <w:pPr>
      <w:numPr>
        <w:ilvl w:val="3"/>
        <w:numId w:val="9"/>
      </w:numPr>
      <w:spacing w:before="360" w:after="200" w:line="360" w:lineRule="auto"/>
    </w:pPr>
    <w:rPr>
      <w:rFonts w:asciiTheme="minorHAnsi" w:hAnsiTheme="minorHAnsi"/>
      <w:sz w:val="22"/>
      <w14:ligatures w14:val="none"/>
    </w:rPr>
  </w:style>
  <w:style w:type="paragraph" w:customStyle="1" w:styleId="Level5Number">
    <w:name w:val="Level 5 Number"/>
    <w:basedOn w:val="BodyText"/>
    <w:rsid w:val="00FA5F34"/>
    <w:pPr>
      <w:numPr>
        <w:ilvl w:val="4"/>
        <w:numId w:val="9"/>
      </w:numPr>
      <w:spacing w:after="240" w:line="360" w:lineRule="auto"/>
    </w:pPr>
    <w:rPr>
      <w:rFonts w:asciiTheme="minorHAnsi" w:hAnsiTheme="minorHAnsi"/>
      <w:sz w:val="22"/>
      <w14:ligatures w14:val="none"/>
    </w:rPr>
  </w:style>
  <w:style w:type="paragraph" w:customStyle="1" w:styleId="Level6Number">
    <w:name w:val="Level 6 Number"/>
    <w:basedOn w:val="BodyText"/>
    <w:rsid w:val="00FA5F34"/>
    <w:pPr>
      <w:numPr>
        <w:ilvl w:val="5"/>
        <w:numId w:val="9"/>
      </w:numPr>
      <w:spacing w:after="240" w:line="360" w:lineRule="auto"/>
    </w:pPr>
    <w:rPr>
      <w:rFonts w:asciiTheme="minorHAnsi" w:hAnsiTheme="minorHAnsi"/>
      <w:sz w:val="22"/>
      <w14:ligatures w14:val="none"/>
    </w:rPr>
  </w:style>
  <w:style w:type="paragraph" w:customStyle="1" w:styleId="Level7Number">
    <w:name w:val="Level 7 Number"/>
    <w:basedOn w:val="BodyText"/>
    <w:rsid w:val="00FA5F34"/>
    <w:pPr>
      <w:numPr>
        <w:ilvl w:val="6"/>
        <w:numId w:val="9"/>
      </w:numPr>
      <w:spacing w:after="240" w:line="360" w:lineRule="auto"/>
    </w:pPr>
    <w:rPr>
      <w:rFonts w:asciiTheme="minorHAnsi" w:hAnsiTheme="minorHAnsi"/>
      <w:sz w:val="22"/>
      <w14:ligatures w14:val="none"/>
    </w:rPr>
  </w:style>
  <w:style w:type="paragraph" w:customStyle="1" w:styleId="Level8Number">
    <w:name w:val="Level 8 Number"/>
    <w:basedOn w:val="BodyText"/>
    <w:rsid w:val="00FA5F34"/>
    <w:pPr>
      <w:numPr>
        <w:ilvl w:val="7"/>
        <w:numId w:val="9"/>
      </w:numPr>
      <w:spacing w:after="240" w:line="360" w:lineRule="auto"/>
    </w:pPr>
    <w:rPr>
      <w:rFonts w:asciiTheme="minorHAnsi" w:hAnsiTheme="minorHAnsi"/>
      <w:sz w:val="22"/>
      <w14:ligatures w14:val="none"/>
    </w:rPr>
  </w:style>
  <w:style w:type="character" w:styleId="SubtleEmphasis">
    <w:name w:val="Subtle Emphasis"/>
    <w:basedOn w:val="DefaultParagraphFont"/>
    <w:uiPriority w:val="19"/>
    <w:qFormat/>
    <w:rsid w:val="00C0404E"/>
    <w:rPr>
      <w:i/>
      <w:iCs/>
      <w:color w:val="202E97" w:themeColor="text1" w:themeTint="BF"/>
    </w:rPr>
  </w:style>
  <w:style w:type="table" w:customStyle="1" w:styleId="TableGrid2">
    <w:name w:val="Table Grid2"/>
    <w:basedOn w:val="TableNormal"/>
    <w:next w:val="TableGrid"/>
    <w:rsid w:val="00066E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rsid w:val="00F949D0"/>
    <w:pPr>
      <w:spacing w:after="240" w:line="360" w:lineRule="auto"/>
      <w:ind w:left="851"/>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909">
      <w:bodyDiv w:val="1"/>
      <w:marLeft w:val="0"/>
      <w:marRight w:val="0"/>
      <w:marTop w:val="0"/>
      <w:marBottom w:val="0"/>
      <w:divBdr>
        <w:top w:val="none" w:sz="0" w:space="0" w:color="auto"/>
        <w:left w:val="none" w:sz="0" w:space="0" w:color="auto"/>
        <w:bottom w:val="none" w:sz="0" w:space="0" w:color="auto"/>
        <w:right w:val="none" w:sz="0" w:space="0" w:color="auto"/>
      </w:divBdr>
    </w:div>
    <w:div w:id="165290029">
      <w:bodyDiv w:val="1"/>
      <w:marLeft w:val="0"/>
      <w:marRight w:val="0"/>
      <w:marTop w:val="0"/>
      <w:marBottom w:val="0"/>
      <w:divBdr>
        <w:top w:val="none" w:sz="0" w:space="0" w:color="auto"/>
        <w:left w:val="none" w:sz="0" w:space="0" w:color="auto"/>
        <w:bottom w:val="none" w:sz="0" w:space="0" w:color="auto"/>
        <w:right w:val="none" w:sz="0" w:space="0" w:color="auto"/>
      </w:divBdr>
    </w:div>
    <w:div w:id="274750902">
      <w:bodyDiv w:val="1"/>
      <w:marLeft w:val="0"/>
      <w:marRight w:val="0"/>
      <w:marTop w:val="0"/>
      <w:marBottom w:val="0"/>
      <w:divBdr>
        <w:top w:val="none" w:sz="0" w:space="0" w:color="auto"/>
        <w:left w:val="none" w:sz="0" w:space="0" w:color="auto"/>
        <w:bottom w:val="none" w:sz="0" w:space="0" w:color="auto"/>
        <w:right w:val="none" w:sz="0" w:space="0" w:color="auto"/>
      </w:divBdr>
    </w:div>
    <w:div w:id="447510550">
      <w:bodyDiv w:val="1"/>
      <w:marLeft w:val="0"/>
      <w:marRight w:val="0"/>
      <w:marTop w:val="0"/>
      <w:marBottom w:val="0"/>
      <w:divBdr>
        <w:top w:val="none" w:sz="0" w:space="0" w:color="auto"/>
        <w:left w:val="none" w:sz="0" w:space="0" w:color="auto"/>
        <w:bottom w:val="none" w:sz="0" w:space="0" w:color="auto"/>
        <w:right w:val="none" w:sz="0" w:space="0" w:color="auto"/>
      </w:divBdr>
    </w:div>
    <w:div w:id="633144053">
      <w:bodyDiv w:val="1"/>
      <w:marLeft w:val="0"/>
      <w:marRight w:val="0"/>
      <w:marTop w:val="0"/>
      <w:marBottom w:val="0"/>
      <w:divBdr>
        <w:top w:val="none" w:sz="0" w:space="0" w:color="auto"/>
        <w:left w:val="none" w:sz="0" w:space="0" w:color="auto"/>
        <w:bottom w:val="none" w:sz="0" w:space="0" w:color="auto"/>
        <w:right w:val="none" w:sz="0" w:space="0" w:color="auto"/>
      </w:divBdr>
    </w:div>
    <w:div w:id="10076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recruiters/legal/template-documents/data-protection/model-document-dp7-withdrawal-consent-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A4AB7-B5F1-494A-AE48-20D446051DB2}"/>
</file>

<file path=customXml/itemProps2.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 ds:uri="ece5a0b6-7814-44d8-82e3-df53ba7419d8"/>
    <ds:schemaRef ds:uri="10ed409f-2cbb-49bf-9dff-43a05b3ced45"/>
  </ds:schemaRefs>
</ds:datastoreItem>
</file>

<file path=customXml/itemProps3.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4.xml><?xml version="1.0" encoding="utf-8"?>
<ds:datastoreItem xmlns:ds="http://schemas.openxmlformats.org/officeDocument/2006/customXml" ds:itemID="{32FD21C7-AA78-41BC-ADC6-A7825B8B2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Sarah Lees</cp:lastModifiedBy>
  <cp:revision>7</cp:revision>
  <dcterms:created xsi:type="dcterms:W3CDTF">2023-09-13T12:50:00Z</dcterms:created>
  <dcterms:modified xsi:type="dcterms:W3CDTF">2026-04-01T09:50:00Z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y fmtid="{D5CDD505-2E9C-101B-9397-08002B2CF9AE}" pid="3" name="MediaServiceImageTags">
    <vt:lpwstr/>
  </property>
</Properties>
</file>